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D61" w:rsidRDefault="00176D61" w:rsidP="00176D61">
      <w:pPr>
        <w:widowControl w:val="0"/>
        <w:jc w:val="center"/>
        <w:rPr>
          <w:rFonts w:ascii="Garamond" w:hAnsi="Garamond"/>
        </w:rPr>
      </w:pPr>
      <w:r>
        <w:rPr>
          <w:noProof/>
        </w:rPr>
        <w:drawing>
          <wp:anchor distT="0" distB="0" distL="114300" distR="114300" simplePos="0" relativeHeight="251660288" behindDoc="1" locked="0" layoutInCell="1" allowOverlap="1">
            <wp:simplePos x="0" y="0"/>
            <wp:positionH relativeFrom="column">
              <wp:posOffset>-452120</wp:posOffset>
            </wp:positionH>
            <wp:positionV relativeFrom="paragraph">
              <wp:posOffset>51435</wp:posOffset>
            </wp:positionV>
            <wp:extent cx="981710" cy="8229600"/>
            <wp:effectExtent l="19050" t="0" r="8890" b="0"/>
            <wp:wrapNone/>
            <wp:docPr id="2" name="Picture 2" descr="NIFC-Board-ltr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FC-Board-ltrhd"/>
                    <pic:cNvPicPr>
                      <a:picLocks noChangeAspect="1" noChangeArrowheads="1"/>
                    </pic:cNvPicPr>
                  </pic:nvPicPr>
                  <pic:blipFill>
                    <a:blip r:embed="rId7"/>
                    <a:srcRect/>
                    <a:stretch>
                      <a:fillRect/>
                    </a:stretch>
                  </pic:blipFill>
                  <pic:spPr bwMode="auto">
                    <a:xfrm>
                      <a:off x="0" y="0"/>
                      <a:ext cx="981710" cy="8229600"/>
                    </a:xfrm>
                    <a:prstGeom prst="rect">
                      <a:avLst/>
                    </a:prstGeom>
                    <a:noFill/>
                    <a:ln w="9525">
                      <a:noFill/>
                      <a:miter lim="800000"/>
                      <a:headEnd/>
                      <a:tailEnd/>
                    </a:ln>
                  </pic:spPr>
                </pic:pic>
              </a:graphicData>
            </a:graphic>
          </wp:anchor>
        </w:drawing>
      </w:r>
      <w:bookmarkStart w:id="0" w:name="_GoBack"/>
      <w:bookmarkEnd w:id="0"/>
      <w:r>
        <w:fldChar w:fldCharType="begin"/>
      </w:r>
      <w:r>
        <w:instrText xml:space="preserve"> SEQ CHAPTER \h \r 1</w:instrText>
      </w:r>
      <w:r>
        <w:fldChar w:fldCharType="end"/>
      </w:r>
      <w:r>
        <w:rPr>
          <w:rFonts w:ascii="Garamond" w:hAnsi="Garamond"/>
          <w:b/>
          <w:smallCaps/>
          <w:sz w:val="32"/>
        </w:rPr>
        <w:t>National Interagency Fire Center</w:t>
      </w:r>
    </w:p>
    <w:p w:rsidR="00176D61" w:rsidRDefault="00176D61" w:rsidP="00176D61">
      <w:pPr>
        <w:widowControl w:val="0"/>
        <w:jc w:val="center"/>
        <w:rPr>
          <w:rFonts w:ascii="Garamond" w:hAnsi="Garamond"/>
        </w:rPr>
      </w:pPr>
      <w:smartTag w:uri="urn:schemas-microsoft-com:office:smarttags" w:element="Street">
        <w:smartTag w:uri="urn:schemas-microsoft-com:office:smarttags" w:element="address">
          <w:r>
            <w:rPr>
              <w:rFonts w:ascii="Garamond" w:hAnsi="Garamond"/>
            </w:rPr>
            <w:t>3833 South Development Avenue</w:t>
          </w:r>
        </w:smartTag>
      </w:smartTag>
    </w:p>
    <w:p w:rsidR="00176D61" w:rsidRPr="003304DB" w:rsidRDefault="00176D61" w:rsidP="00176D61">
      <w:pPr>
        <w:widowControl w:val="0"/>
        <w:jc w:val="center"/>
        <w:rPr>
          <w:lang w:val="fr-FR"/>
        </w:rPr>
      </w:pPr>
      <w:r w:rsidRPr="003304DB">
        <w:rPr>
          <w:rFonts w:ascii="Garamond" w:hAnsi="Garamond"/>
          <w:lang w:val="fr-FR"/>
        </w:rPr>
        <w:t>Boise, Idaho 83705</w:t>
      </w:r>
    </w:p>
    <w:p w:rsidR="00176D61" w:rsidRPr="003304DB" w:rsidRDefault="00176D61" w:rsidP="00176D61">
      <w:pPr>
        <w:widowControl w:val="0"/>
        <w:jc w:val="center"/>
        <w:rPr>
          <w:lang w:val="fr-FR"/>
        </w:rPr>
      </w:pPr>
    </w:p>
    <w:p w:rsidR="00176D61" w:rsidRPr="003304DB" w:rsidRDefault="00176D61" w:rsidP="00176D61">
      <w:pPr>
        <w:widowControl w:val="0"/>
        <w:jc w:val="center"/>
        <w:rPr>
          <w:lang w:val="fr-FR"/>
        </w:rPr>
      </w:pPr>
    </w:p>
    <w:p w:rsidR="00176D61" w:rsidRPr="003304DB" w:rsidRDefault="00176D61" w:rsidP="00176D61">
      <w:pPr>
        <w:ind w:left="720"/>
        <w:rPr>
          <w:lang w:val="fr-FR"/>
        </w:rPr>
      </w:pPr>
      <w:r w:rsidRPr="003304DB">
        <w:rPr>
          <w:lang w:val="fr-FR"/>
        </w:rPr>
        <w:t xml:space="preserve">9216 NFES (LLFA240000)   </w:t>
      </w:r>
    </w:p>
    <w:p w:rsidR="00176D61" w:rsidRPr="003304DB" w:rsidRDefault="00176D61" w:rsidP="00176D61">
      <w:pPr>
        <w:jc w:val="right"/>
        <w:rPr>
          <w:lang w:val="fr-FR"/>
        </w:rPr>
      </w:pPr>
    </w:p>
    <w:p w:rsidR="00176D61" w:rsidRPr="003304DB" w:rsidRDefault="00D13AFA" w:rsidP="00176D61">
      <w:pPr>
        <w:jc w:val="right"/>
        <w:rPr>
          <w:lang w:val="fr-FR"/>
        </w:rPr>
      </w:pPr>
      <w:r>
        <w:rPr>
          <w:lang w:val="fr-FR"/>
        </w:rPr>
        <w:t>March 6</w:t>
      </w:r>
      <w:r w:rsidR="001D7B25">
        <w:rPr>
          <w:lang w:val="fr-FR"/>
        </w:rPr>
        <w:t>, 2013</w:t>
      </w:r>
    </w:p>
    <w:p w:rsidR="00176D61" w:rsidRPr="003304DB" w:rsidRDefault="00176D61" w:rsidP="00176D61">
      <w:pPr>
        <w:jc w:val="both"/>
        <w:rPr>
          <w:b/>
          <w:lang w:val="fr-FR"/>
        </w:rPr>
      </w:pPr>
    </w:p>
    <w:p w:rsidR="00176D61" w:rsidRDefault="00176D61" w:rsidP="00176D61">
      <w:pPr>
        <w:ind w:left="720"/>
        <w:jc w:val="both"/>
        <w:rPr>
          <w:b/>
        </w:rPr>
      </w:pPr>
      <w:r>
        <w:rPr>
          <w:b/>
        </w:rPr>
        <w:t>NATIONAL FIRE EQUIPMENT SYSTEM</w:t>
      </w:r>
    </w:p>
    <w:p w:rsidR="00176D61" w:rsidRDefault="00176D61" w:rsidP="00176D61">
      <w:pPr>
        <w:ind w:left="720"/>
        <w:jc w:val="both"/>
      </w:pPr>
      <w:proofErr w:type="gramStart"/>
      <w:r>
        <w:rPr>
          <w:b/>
        </w:rPr>
        <w:t>CACHE MEMORANDUM NO.</w:t>
      </w:r>
      <w:proofErr w:type="gramEnd"/>
      <w:r>
        <w:rPr>
          <w:b/>
        </w:rPr>
        <w:t xml:space="preserve"> </w:t>
      </w:r>
      <w:r w:rsidR="001D7B25">
        <w:rPr>
          <w:b/>
        </w:rPr>
        <w:t>13-1</w:t>
      </w:r>
    </w:p>
    <w:p w:rsidR="00176D61" w:rsidRDefault="00176D61" w:rsidP="00176D61">
      <w:pPr>
        <w:ind w:left="720"/>
        <w:jc w:val="both"/>
      </w:pPr>
    </w:p>
    <w:p w:rsidR="00176D61" w:rsidRDefault="00176D61" w:rsidP="00176D61">
      <w:pPr>
        <w:ind w:left="720"/>
        <w:jc w:val="both"/>
      </w:pPr>
    </w:p>
    <w:p w:rsidR="00176D61" w:rsidRDefault="00176D61" w:rsidP="00176D61">
      <w:pPr>
        <w:tabs>
          <w:tab w:val="left" w:pos="1620"/>
        </w:tabs>
        <w:ind w:left="720"/>
        <w:jc w:val="both"/>
      </w:pPr>
      <w:r>
        <w:t>To:</w:t>
      </w:r>
      <w:r>
        <w:tab/>
        <w:t>NFES: National Interagency Support Caches</w:t>
      </w:r>
    </w:p>
    <w:p w:rsidR="00176D61" w:rsidRDefault="00176D61" w:rsidP="00176D61">
      <w:pPr>
        <w:ind w:left="720"/>
        <w:jc w:val="both"/>
      </w:pPr>
    </w:p>
    <w:p w:rsidR="00176D61" w:rsidRDefault="00176D61" w:rsidP="00176D61">
      <w:pPr>
        <w:tabs>
          <w:tab w:val="left" w:pos="1440"/>
        </w:tabs>
        <w:ind w:left="720"/>
        <w:jc w:val="both"/>
      </w:pPr>
      <w:r>
        <w:t>From:</w:t>
      </w:r>
      <w:r>
        <w:tab/>
      </w:r>
      <w:r w:rsidR="004E74EF">
        <w:t xml:space="preserve">   Leslie Anderson</w:t>
      </w:r>
      <w:r>
        <w:t xml:space="preserve">, Chair, </w:t>
      </w:r>
      <w:proofErr w:type="gramStart"/>
      <w:r>
        <w:t>Equipment</w:t>
      </w:r>
      <w:proofErr w:type="gramEnd"/>
      <w:r>
        <w:t xml:space="preserve"> Technology Committee </w:t>
      </w:r>
      <w:r w:rsidR="00F00BC4">
        <w:t>–</w:t>
      </w:r>
      <w:r>
        <w:t xml:space="preserve"> NWCG</w:t>
      </w:r>
    </w:p>
    <w:p w:rsidR="00F00BC4" w:rsidRDefault="00F00BC4" w:rsidP="00176D61">
      <w:pPr>
        <w:tabs>
          <w:tab w:val="left" w:pos="1440"/>
        </w:tabs>
        <w:ind w:left="720"/>
        <w:jc w:val="both"/>
      </w:pPr>
    </w:p>
    <w:p w:rsidR="00F00BC4" w:rsidRDefault="00F00BC4" w:rsidP="00176D61">
      <w:pPr>
        <w:tabs>
          <w:tab w:val="left" w:pos="1440"/>
        </w:tabs>
        <w:ind w:left="720"/>
        <w:jc w:val="both"/>
      </w:pPr>
      <w:r>
        <w:t>Subject:</w:t>
      </w:r>
      <w:r w:rsidR="00FA1807">
        <w:t xml:space="preserve">  Label</w:t>
      </w:r>
      <w:r w:rsidR="00B42DA7">
        <w:t>/Stencil</w:t>
      </w:r>
      <w:r w:rsidR="00FA1807">
        <w:t xml:space="preserve"> Addition to Propane Tanks, NFES 000491</w:t>
      </w:r>
    </w:p>
    <w:p w:rsidR="00FA1807" w:rsidRDefault="00FA1807" w:rsidP="00176D61">
      <w:pPr>
        <w:tabs>
          <w:tab w:val="left" w:pos="1440"/>
        </w:tabs>
        <w:ind w:left="720"/>
        <w:jc w:val="both"/>
      </w:pPr>
    </w:p>
    <w:p w:rsidR="00FA1807" w:rsidRDefault="00FA1807" w:rsidP="00176D61">
      <w:pPr>
        <w:tabs>
          <w:tab w:val="left" w:pos="1440"/>
        </w:tabs>
        <w:ind w:left="720"/>
        <w:jc w:val="both"/>
      </w:pPr>
    </w:p>
    <w:p w:rsidR="0041287F" w:rsidRDefault="00D453D9" w:rsidP="001C75DA">
      <w:pPr>
        <w:tabs>
          <w:tab w:val="left" w:pos="1440"/>
        </w:tabs>
        <w:ind w:left="720"/>
        <w:jc w:val="both"/>
      </w:pPr>
      <w:r>
        <w:t>The potential for asphyxiation due to carbon monoxide poisoning originating from the use of propane heaters in enclosed spaces has been recognized as a legitimate concern</w:t>
      </w:r>
      <w:r w:rsidR="00AF739D">
        <w:t xml:space="preserve"> </w:t>
      </w:r>
      <w:r>
        <w:t>on late and early season fire incidents</w:t>
      </w:r>
      <w:r w:rsidR="00AF739D">
        <w:t xml:space="preserve"> where cold temperatures may be encountered</w:t>
      </w:r>
      <w:r>
        <w:t>.  A technical review conducted by SDTDC concluded that all current models of propane heaters utilized by the NFES caches are not safe to use in enclosed spaces, such as tents, under typical operating environments</w:t>
      </w:r>
      <w:r w:rsidR="003B7B9D">
        <w:t xml:space="preserve"> on incidents</w:t>
      </w:r>
      <w:r w:rsidR="001423ED">
        <w:t xml:space="preserve">.  </w:t>
      </w:r>
      <w:r>
        <w:t xml:space="preserve">Additional market research conducted by SDTDC concluded there are no </w:t>
      </w:r>
      <w:r w:rsidR="003B7B9D">
        <w:t>portable propane heaters currently on the market that provide an acceptable</w:t>
      </w:r>
      <w:r w:rsidR="0041287F">
        <w:t xml:space="preserve"> level of safety</w:t>
      </w:r>
      <w:r w:rsidR="003B7B9D">
        <w:t xml:space="preserve"> for indoor use.  </w:t>
      </w:r>
      <w:r w:rsidR="001C75DA">
        <w:t xml:space="preserve">This is a valid concern in other heating applications as well, such as the </w:t>
      </w:r>
      <w:r w:rsidR="00404A89">
        <w:t xml:space="preserve">use of the </w:t>
      </w:r>
      <w:r w:rsidR="001C75DA">
        <w:t>propane fueled coffee heating kit (NFES 000480).</w:t>
      </w:r>
    </w:p>
    <w:p w:rsidR="0041287F" w:rsidRDefault="0041287F" w:rsidP="00176D61">
      <w:pPr>
        <w:tabs>
          <w:tab w:val="left" w:pos="1440"/>
        </w:tabs>
        <w:ind w:left="720"/>
        <w:jc w:val="both"/>
      </w:pPr>
    </w:p>
    <w:p w:rsidR="004861F2" w:rsidRDefault="003B7B9D" w:rsidP="00176D61">
      <w:pPr>
        <w:tabs>
          <w:tab w:val="left" w:pos="1440"/>
        </w:tabs>
        <w:ind w:left="720"/>
        <w:jc w:val="both"/>
      </w:pPr>
      <w:r>
        <w:t xml:space="preserve">While a long term solution is being investigated for </w:t>
      </w:r>
      <w:r w:rsidR="0038355A">
        <w:t xml:space="preserve">safely </w:t>
      </w:r>
      <w:r w:rsidR="00404A89">
        <w:t>heating tents and</w:t>
      </w:r>
      <w:r>
        <w:t xml:space="preserve"> other structures on incidents it will be especially important to ensure</w:t>
      </w:r>
      <w:r w:rsidR="0041287F">
        <w:t xml:space="preserve"> that incident personnel are aware of the potential hazards associated with the use of propane heaters in enclosed spaces. The NFES caches currently maintain various models of propane heaters, some of which are well marked by manufacturers regarding </w:t>
      </w:r>
      <w:r w:rsidR="00404A89">
        <w:t>the potential hazards associated with indoor</w:t>
      </w:r>
      <w:r w:rsidR="00274CB5">
        <w:t xml:space="preserve"> </w:t>
      </w:r>
      <w:r w:rsidR="0041287F">
        <w:t>u</w:t>
      </w:r>
      <w:r w:rsidR="00404A89">
        <w:t>se</w:t>
      </w:r>
      <w:r w:rsidR="00F54F9F">
        <w:t xml:space="preserve"> while o</w:t>
      </w:r>
      <w:r w:rsidR="0041287F">
        <w:t>thers</w:t>
      </w:r>
      <w:r w:rsidR="00431A1B">
        <w:t xml:space="preserve"> are less well marked </w:t>
      </w:r>
      <w:r w:rsidR="0041287F">
        <w:t>due to space limitations on the heater itself</w:t>
      </w:r>
      <w:r w:rsidR="00431A1B">
        <w:t xml:space="preserve"> or other reasons</w:t>
      </w:r>
      <w:r w:rsidR="0041287F">
        <w:t>.</w:t>
      </w:r>
    </w:p>
    <w:p w:rsidR="00C23E65" w:rsidRDefault="00C23E65" w:rsidP="00176D61">
      <w:pPr>
        <w:tabs>
          <w:tab w:val="left" w:pos="1440"/>
        </w:tabs>
        <w:ind w:left="720"/>
        <w:jc w:val="both"/>
      </w:pPr>
    </w:p>
    <w:p w:rsidR="00CC7005" w:rsidRDefault="00CC7005" w:rsidP="00176D61">
      <w:pPr>
        <w:tabs>
          <w:tab w:val="left" w:pos="1440"/>
        </w:tabs>
        <w:ind w:left="720"/>
        <w:jc w:val="both"/>
      </w:pPr>
      <w:r>
        <w:t>A</w:t>
      </w:r>
      <w:r w:rsidR="00C23E65">
        <w:t>ll propane heaters</w:t>
      </w:r>
      <w:r w:rsidR="001423ED" w:rsidRPr="00826C53">
        <w:t>, as well as any other heating application,</w:t>
      </w:r>
      <w:r w:rsidR="00C23E65" w:rsidRPr="00826C53">
        <w:t xml:space="preserve"> </w:t>
      </w:r>
      <w:r w:rsidR="00C23E65">
        <w:t>require the addition of the NFES 000491 propane ta</w:t>
      </w:r>
      <w:r w:rsidR="00274CB5">
        <w:t>nk as a fuel source</w:t>
      </w:r>
      <w:r>
        <w:t>. T</w:t>
      </w:r>
      <w:r w:rsidR="00274CB5">
        <w:t>he application</w:t>
      </w:r>
      <w:r w:rsidR="00C23E65">
        <w:t xml:space="preserve"> of markings on</w:t>
      </w:r>
      <w:r w:rsidR="00274CB5">
        <w:t>to</w:t>
      </w:r>
      <w:r w:rsidR="00C23E65">
        <w:t xml:space="preserve"> the propane </w:t>
      </w:r>
      <w:r>
        <w:t xml:space="preserve">tank </w:t>
      </w:r>
      <w:r w:rsidR="00C23E65">
        <w:t xml:space="preserve">will help to ensure incident personnel are </w:t>
      </w:r>
      <w:r w:rsidR="00274CB5">
        <w:t xml:space="preserve">educated or </w:t>
      </w:r>
      <w:r w:rsidR="00C23E65">
        <w:t>reminde</w:t>
      </w:r>
      <w:r w:rsidR="001C75DA">
        <w:t xml:space="preserve">d </w:t>
      </w:r>
      <w:r>
        <w:t xml:space="preserve">that </w:t>
      </w:r>
      <w:r w:rsidR="001C75DA">
        <w:t>these devices are not for use</w:t>
      </w:r>
      <w:r w:rsidR="00C23E65">
        <w:t xml:space="preserve"> indoors.  </w:t>
      </w:r>
    </w:p>
    <w:p w:rsidR="00CC7005" w:rsidRDefault="00CC7005" w:rsidP="00176D61">
      <w:pPr>
        <w:tabs>
          <w:tab w:val="left" w:pos="1440"/>
        </w:tabs>
        <w:ind w:left="720"/>
        <w:jc w:val="both"/>
      </w:pPr>
    </w:p>
    <w:p w:rsidR="0007709E" w:rsidRDefault="0007709E" w:rsidP="00176D61">
      <w:pPr>
        <w:tabs>
          <w:tab w:val="left" w:pos="1440"/>
        </w:tabs>
        <w:ind w:left="720"/>
        <w:jc w:val="both"/>
      </w:pPr>
    </w:p>
    <w:p w:rsidR="00FA1807" w:rsidRDefault="001E74A2" w:rsidP="00176D61">
      <w:pPr>
        <w:tabs>
          <w:tab w:val="left" w:pos="1440"/>
        </w:tabs>
        <w:ind w:left="720"/>
        <w:jc w:val="both"/>
      </w:pPr>
      <w:r>
        <w:lastRenderedPageBreak/>
        <w:t>T</w:t>
      </w:r>
      <w:r w:rsidR="00431A1B">
        <w:t xml:space="preserve">he NFES caches </w:t>
      </w:r>
      <w:r>
        <w:t xml:space="preserve">are instructed </w:t>
      </w:r>
      <w:r w:rsidR="00431A1B">
        <w:t>to apply an appropriate written warning on the</w:t>
      </w:r>
      <w:r w:rsidR="00274CB5">
        <w:t>ir</w:t>
      </w:r>
      <w:r w:rsidR="00431A1B">
        <w:t xml:space="preserve"> </w:t>
      </w:r>
      <w:r w:rsidR="00274CB5">
        <w:t xml:space="preserve">inventory of </w:t>
      </w:r>
      <w:r w:rsidR="00431A1B">
        <w:t>propane tank</w:t>
      </w:r>
      <w:r w:rsidR="00274CB5">
        <w:t>s</w:t>
      </w:r>
      <w:r w:rsidR="00431A1B">
        <w:t>.  The warning should state “</w:t>
      </w:r>
      <w:r w:rsidR="003708B2">
        <w:t>NOT FOR INDOOR USE</w:t>
      </w:r>
      <w:r w:rsidR="00431A1B">
        <w:t xml:space="preserve">” and be located in a highly </w:t>
      </w:r>
      <w:r w:rsidR="003708B2">
        <w:t xml:space="preserve">visible location on the </w:t>
      </w:r>
      <w:r>
        <w:t xml:space="preserve">NFES 000491 </w:t>
      </w:r>
      <w:r w:rsidR="00431A1B">
        <w:t xml:space="preserve">propane tank.  </w:t>
      </w:r>
      <w:r w:rsidR="00274CB5">
        <w:t>The warning may be a painted stencil or decal, with red lettering at least</w:t>
      </w:r>
      <w:r w:rsidR="003708B2">
        <w:t xml:space="preserve"> 3/4</w:t>
      </w:r>
      <w:r w:rsidR="00274CB5">
        <w:t xml:space="preserve"> inch</w:t>
      </w:r>
      <w:r w:rsidR="003708B2">
        <w:t>es tall</w:t>
      </w:r>
      <w:r w:rsidR="00274CB5">
        <w:t xml:space="preserve"> in size.</w:t>
      </w:r>
    </w:p>
    <w:p w:rsidR="007008FD" w:rsidRDefault="007008FD" w:rsidP="00176D61">
      <w:pPr>
        <w:tabs>
          <w:tab w:val="left" w:pos="1440"/>
        </w:tabs>
        <w:ind w:left="720"/>
        <w:jc w:val="both"/>
      </w:pPr>
    </w:p>
    <w:p w:rsidR="007008FD" w:rsidRDefault="00826C53" w:rsidP="00176D61">
      <w:pPr>
        <w:tabs>
          <w:tab w:val="left" w:pos="1440"/>
        </w:tabs>
        <w:ind w:left="720"/>
        <w:jc w:val="both"/>
      </w:pPr>
      <w:r>
        <w:t xml:space="preserve">Please contact Paul Naman, BLM-NIFC </w:t>
      </w:r>
      <w:r w:rsidR="006B6E80">
        <w:t xml:space="preserve">at (208) </w:t>
      </w:r>
      <w:r>
        <w:t xml:space="preserve">387-5421, or e-mail at </w:t>
      </w:r>
      <w:hyperlink r:id="rId8" w:history="1">
        <w:r w:rsidRPr="007F2B1D">
          <w:rPr>
            <w:rStyle w:val="Hyperlink"/>
          </w:rPr>
          <w:t>pnaman@blm.gov</w:t>
        </w:r>
      </w:hyperlink>
      <w:r>
        <w:t xml:space="preserve"> </w:t>
      </w:r>
      <w:r w:rsidR="007008FD">
        <w:t>if you have any questions or comments</w:t>
      </w:r>
      <w:r w:rsidR="004C5CE2">
        <w:t xml:space="preserve"> on this information.</w:t>
      </w:r>
    </w:p>
    <w:p w:rsidR="00FA1807" w:rsidRDefault="00FA1807" w:rsidP="00176D61">
      <w:pPr>
        <w:tabs>
          <w:tab w:val="left" w:pos="1440"/>
        </w:tabs>
        <w:ind w:left="720"/>
        <w:jc w:val="both"/>
      </w:pPr>
    </w:p>
    <w:p w:rsidR="001D7B25" w:rsidRDefault="001D7B25" w:rsidP="00176D61">
      <w:pPr>
        <w:tabs>
          <w:tab w:val="left" w:pos="1440"/>
        </w:tabs>
        <w:ind w:left="720"/>
        <w:jc w:val="both"/>
      </w:pPr>
    </w:p>
    <w:p w:rsidR="001D7B25" w:rsidRDefault="00BE6258" w:rsidP="00176D61">
      <w:pPr>
        <w:tabs>
          <w:tab w:val="left" w:pos="1440"/>
        </w:tabs>
        <w:ind w:left="720"/>
        <w:jc w:val="both"/>
      </w:pPr>
      <w:r>
        <w:t>/s/ Leslie Anderson</w:t>
      </w:r>
    </w:p>
    <w:p w:rsidR="00BE6258" w:rsidRDefault="00BE6258" w:rsidP="00176D61">
      <w:pPr>
        <w:tabs>
          <w:tab w:val="left" w:pos="1440"/>
        </w:tabs>
        <w:ind w:left="720"/>
        <w:jc w:val="both"/>
      </w:pPr>
      <w:r>
        <w:t xml:space="preserve">     Chair, Equipment and Technology Committee</w:t>
      </w:r>
    </w:p>
    <w:p w:rsidR="001D7B25" w:rsidRDefault="001D7B25" w:rsidP="00176D61">
      <w:pPr>
        <w:tabs>
          <w:tab w:val="left" w:pos="1440"/>
        </w:tabs>
        <w:ind w:left="720"/>
        <w:jc w:val="both"/>
      </w:pPr>
    </w:p>
    <w:p w:rsidR="001D7B25" w:rsidRDefault="001D7B25" w:rsidP="00176D61">
      <w:pPr>
        <w:tabs>
          <w:tab w:val="left" w:pos="1440"/>
        </w:tabs>
        <w:ind w:left="720"/>
        <w:jc w:val="both"/>
      </w:pPr>
    </w:p>
    <w:p w:rsidR="001D7B25" w:rsidRDefault="001D7B25" w:rsidP="00176D61">
      <w:pPr>
        <w:tabs>
          <w:tab w:val="left" w:pos="1440"/>
        </w:tabs>
        <w:ind w:left="720"/>
        <w:jc w:val="both"/>
      </w:pPr>
    </w:p>
    <w:p w:rsidR="001D7B25" w:rsidRDefault="001D7B25" w:rsidP="00176D61">
      <w:pPr>
        <w:tabs>
          <w:tab w:val="left" w:pos="1440"/>
        </w:tabs>
        <w:ind w:left="720"/>
        <w:jc w:val="both"/>
      </w:pPr>
    </w:p>
    <w:p w:rsidR="001D7B25" w:rsidRDefault="001D7B25" w:rsidP="001D7B25">
      <w:pPr>
        <w:ind w:left="720"/>
      </w:pPr>
      <w:r>
        <w:t>cc:</w:t>
      </w:r>
    </w:p>
    <w:p w:rsidR="001D7B25" w:rsidRDefault="001D7B25" w:rsidP="001D7B25">
      <w:pPr>
        <w:ind w:left="720"/>
      </w:pPr>
      <w:r>
        <w:t>State Fire Management Officers - BLM</w:t>
      </w:r>
    </w:p>
    <w:p w:rsidR="001D7B25" w:rsidRDefault="001D7B25" w:rsidP="001D7B25">
      <w:pPr>
        <w:ind w:left="720"/>
      </w:pPr>
      <w:r>
        <w:t>Regional Directors Fire and Aviation Management - USFS</w:t>
      </w:r>
    </w:p>
    <w:p w:rsidR="001D7B25" w:rsidRDefault="001D7B25" w:rsidP="001D7B25">
      <w:pPr>
        <w:ind w:left="720"/>
      </w:pPr>
      <w:r>
        <w:t>Technology Development Centers - San Dimas, Missoula</w:t>
      </w:r>
    </w:p>
    <w:p w:rsidR="001D7B25" w:rsidRDefault="001D7B25" w:rsidP="001D7B25">
      <w:pPr>
        <w:ind w:left="720"/>
      </w:pPr>
      <w:r>
        <w:t>Agency Directors - NIFC</w:t>
      </w:r>
    </w:p>
    <w:p w:rsidR="001D7B25" w:rsidRDefault="001D7B25" w:rsidP="001D7B25">
      <w:pPr>
        <w:ind w:left="720"/>
      </w:pPr>
      <w:r>
        <w:t>Logistics Center - NICC</w:t>
      </w:r>
    </w:p>
    <w:p w:rsidR="001D7B25" w:rsidRDefault="001D7B25" w:rsidP="001D7B25">
      <w:pPr>
        <w:ind w:left="720"/>
      </w:pPr>
      <w:r>
        <w:t>Bill Hicks - GSA</w:t>
      </w:r>
    </w:p>
    <w:p w:rsidR="001D7B25" w:rsidRDefault="001D7B25" w:rsidP="001D7B25">
      <w:pPr>
        <w:ind w:left="720"/>
      </w:pPr>
    </w:p>
    <w:p w:rsidR="001D7B25" w:rsidRDefault="001D7B25" w:rsidP="001D7B25">
      <w:pPr>
        <w:ind w:left="720"/>
      </w:pPr>
    </w:p>
    <w:p w:rsidR="001D7B25" w:rsidRDefault="001D7B25" w:rsidP="001D7B25">
      <w:pPr>
        <w:ind w:left="720"/>
      </w:pPr>
    </w:p>
    <w:p w:rsidR="001D7B25" w:rsidRDefault="001D7B25" w:rsidP="001D7B25">
      <w:pPr>
        <w:ind w:left="720"/>
      </w:pPr>
    </w:p>
    <w:p w:rsidR="001D7B25" w:rsidRDefault="001D7B25" w:rsidP="001D7B25">
      <w:pPr>
        <w:ind w:left="720"/>
      </w:pPr>
    </w:p>
    <w:p w:rsidR="001D7B25" w:rsidRDefault="001D7B25" w:rsidP="001D7B25">
      <w:pPr>
        <w:framePr w:w="2418" w:h="2028" w:hRule="exact" w:hSpace="90" w:vSpace="90" w:wrap="auto" w:vAnchor="page" w:hAnchor="page" w:x="8326" w:y="11881"/>
      </w:pPr>
      <w:r>
        <w:rPr>
          <w:noProof/>
        </w:rPr>
        <w:drawing>
          <wp:inline distT="0" distB="0" distL="0" distR="0">
            <wp:extent cx="1542415" cy="1289685"/>
            <wp:effectExtent l="0" t="0" r="63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2415" cy="1289685"/>
                    </a:xfrm>
                    <a:prstGeom prst="rect">
                      <a:avLst/>
                    </a:prstGeom>
                    <a:noFill/>
                    <a:ln>
                      <a:noFill/>
                    </a:ln>
                  </pic:spPr>
                </pic:pic>
              </a:graphicData>
            </a:graphic>
          </wp:inline>
        </w:drawing>
      </w:r>
    </w:p>
    <w:p w:rsidR="001D7B25" w:rsidRDefault="001D7B25" w:rsidP="001D7B25">
      <w:pPr>
        <w:ind w:left="720"/>
      </w:pPr>
    </w:p>
    <w:p w:rsidR="001D7B25" w:rsidRDefault="001D7B25" w:rsidP="001D7B25">
      <w:pPr>
        <w:ind w:left="720"/>
      </w:pPr>
    </w:p>
    <w:p w:rsidR="001D7B25" w:rsidRDefault="001D7B25" w:rsidP="001D7B25">
      <w:pPr>
        <w:ind w:left="720"/>
      </w:pPr>
    </w:p>
    <w:p w:rsidR="001D7B25" w:rsidRDefault="001D7B25" w:rsidP="001D7B25">
      <w:pPr>
        <w:ind w:left="720"/>
      </w:pPr>
    </w:p>
    <w:p w:rsidR="001D7B25" w:rsidRDefault="001D7B25" w:rsidP="001D7B25">
      <w:pPr>
        <w:ind w:left="720"/>
      </w:pPr>
    </w:p>
    <w:p w:rsidR="001D7B25" w:rsidRDefault="001D7B25" w:rsidP="001D7B25">
      <w:pPr>
        <w:ind w:left="720"/>
      </w:pPr>
    </w:p>
    <w:p w:rsidR="00AD3CD2" w:rsidRDefault="006C1D73"/>
    <w:sectPr w:rsidR="00AD3CD2" w:rsidSect="0007709E">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D73" w:rsidRDefault="006C1D73" w:rsidP="00B52481">
      <w:r>
        <w:separator/>
      </w:r>
    </w:p>
  </w:endnote>
  <w:endnote w:type="continuationSeparator" w:id="0">
    <w:p w:rsidR="006C1D73" w:rsidRDefault="006C1D73" w:rsidP="00B52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D73" w:rsidRDefault="006C1D73" w:rsidP="00B52481">
      <w:r>
        <w:separator/>
      </w:r>
    </w:p>
  </w:footnote>
  <w:footnote w:type="continuationSeparator" w:id="0">
    <w:p w:rsidR="006C1D73" w:rsidRDefault="006C1D73" w:rsidP="00B52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854782"/>
      <w:docPartObj>
        <w:docPartGallery w:val="Page Numbers (Top of Page)"/>
        <w:docPartUnique/>
      </w:docPartObj>
    </w:sdtPr>
    <w:sdtEndPr>
      <w:rPr>
        <w:noProof/>
      </w:rPr>
    </w:sdtEndPr>
    <w:sdtContent>
      <w:p w:rsidR="0007709E" w:rsidRDefault="0007709E">
        <w:pPr>
          <w:pStyle w:val="Header"/>
          <w:jc w:val="right"/>
        </w:pPr>
        <w:r>
          <w:fldChar w:fldCharType="begin"/>
        </w:r>
        <w:r>
          <w:instrText xml:space="preserve"> PAGE   \* MERGEFORMAT </w:instrText>
        </w:r>
        <w:r>
          <w:fldChar w:fldCharType="separate"/>
        </w:r>
        <w:r w:rsidR="00E35C1F">
          <w:rPr>
            <w:noProof/>
          </w:rPr>
          <w:t>2</w:t>
        </w:r>
        <w:r>
          <w:rPr>
            <w:noProof/>
          </w:rPr>
          <w:fldChar w:fldCharType="end"/>
        </w:r>
      </w:p>
    </w:sdtContent>
  </w:sdt>
  <w:p w:rsidR="00B52481" w:rsidRDefault="00B524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D61"/>
    <w:rsid w:val="0007709E"/>
    <w:rsid w:val="001423ED"/>
    <w:rsid w:val="00176D61"/>
    <w:rsid w:val="001C75DA"/>
    <w:rsid w:val="001D7B25"/>
    <w:rsid w:val="001E74A2"/>
    <w:rsid w:val="00274CB5"/>
    <w:rsid w:val="002E7420"/>
    <w:rsid w:val="003708B2"/>
    <w:rsid w:val="0038355A"/>
    <w:rsid w:val="003B7B9D"/>
    <w:rsid w:val="00404A89"/>
    <w:rsid w:val="0041287F"/>
    <w:rsid w:val="00431A1B"/>
    <w:rsid w:val="004861F2"/>
    <w:rsid w:val="004C5CE2"/>
    <w:rsid w:val="004E639B"/>
    <w:rsid w:val="004E74EF"/>
    <w:rsid w:val="006662F7"/>
    <w:rsid w:val="006B6E80"/>
    <w:rsid w:val="006C1D73"/>
    <w:rsid w:val="007008FD"/>
    <w:rsid w:val="00743C6F"/>
    <w:rsid w:val="007E411D"/>
    <w:rsid w:val="00826C53"/>
    <w:rsid w:val="008B2264"/>
    <w:rsid w:val="009820AB"/>
    <w:rsid w:val="00995B76"/>
    <w:rsid w:val="00AF739D"/>
    <w:rsid w:val="00B42DA7"/>
    <w:rsid w:val="00B52481"/>
    <w:rsid w:val="00BE6258"/>
    <w:rsid w:val="00BF680F"/>
    <w:rsid w:val="00C23E65"/>
    <w:rsid w:val="00CB5E07"/>
    <w:rsid w:val="00CC7005"/>
    <w:rsid w:val="00D13AFA"/>
    <w:rsid w:val="00D453D9"/>
    <w:rsid w:val="00E35C1F"/>
    <w:rsid w:val="00F00BC4"/>
    <w:rsid w:val="00F54F9F"/>
    <w:rsid w:val="00FA1807"/>
    <w:rsid w:val="00FF1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D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481"/>
    <w:pPr>
      <w:tabs>
        <w:tab w:val="center" w:pos="4680"/>
        <w:tab w:val="right" w:pos="9360"/>
      </w:tabs>
    </w:pPr>
  </w:style>
  <w:style w:type="character" w:customStyle="1" w:styleId="HeaderChar">
    <w:name w:val="Header Char"/>
    <w:basedOn w:val="DefaultParagraphFont"/>
    <w:link w:val="Header"/>
    <w:uiPriority w:val="99"/>
    <w:rsid w:val="00B524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52481"/>
    <w:pPr>
      <w:tabs>
        <w:tab w:val="center" w:pos="4680"/>
        <w:tab w:val="right" w:pos="9360"/>
      </w:tabs>
    </w:pPr>
  </w:style>
  <w:style w:type="character" w:customStyle="1" w:styleId="FooterChar">
    <w:name w:val="Footer Char"/>
    <w:basedOn w:val="DefaultParagraphFont"/>
    <w:link w:val="Footer"/>
    <w:uiPriority w:val="99"/>
    <w:rsid w:val="00B5248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6C53"/>
    <w:rPr>
      <w:color w:val="0000FF" w:themeColor="hyperlink"/>
      <w:u w:val="single"/>
    </w:rPr>
  </w:style>
  <w:style w:type="paragraph" w:styleId="BalloonText">
    <w:name w:val="Balloon Text"/>
    <w:basedOn w:val="Normal"/>
    <w:link w:val="BalloonTextChar"/>
    <w:uiPriority w:val="99"/>
    <w:semiHidden/>
    <w:unhideWhenUsed/>
    <w:rsid w:val="001D7B25"/>
    <w:rPr>
      <w:rFonts w:ascii="Tahoma" w:hAnsi="Tahoma" w:cs="Tahoma"/>
      <w:sz w:val="16"/>
      <w:szCs w:val="16"/>
    </w:rPr>
  </w:style>
  <w:style w:type="character" w:customStyle="1" w:styleId="BalloonTextChar">
    <w:name w:val="Balloon Text Char"/>
    <w:basedOn w:val="DefaultParagraphFont"/>
    <w:link w:val="BalloonText"/>
    <w:uiPriority w:val="99"/>
    <w:semiHidden/>
    <w:rsid w:val="001D7B2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D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481"/>
    <w:pPr>
      <w:tabs>
        <w:tab w:val="center" w:pos="4680"/>
        <w:tab w:val="right" w:pos="9360"/>
      </w:tabs>
    </w:pPr>
  </w:style>
  <w:style w:type="character" w:customStyle="1" w:styleId="HeaderChar">
    <w:name w:val="Header Char"/>
    <w:basedOn w:val="DefaultParagraphFont"/>
    <w:link w:val="Header"/>
    <w:uiPriority w:val="99"/>
    <w:rsid w:val="00B524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52481"/>
    <w:pPr>
      <w:tabs>
        <w:tab w:val="center" w:pos="4680"/>
        <w:tab w:val="right" w:pos="9360"/>
      </w:tabs>
    </w:pPr>
  </w:style>
  <w:style w:type="character" w:customStyle="1" w:styleId="FooterChar">
    <w:name w:val="Footer Char"/>
    <w:basedOn w:val="DefaultParagraphFont"/>
    <w:link w:val="Footer"/>
    <w:uiPriority w:val="99"/>
    <w:rsid w:val="00B5248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6C53"/>
    <w:rPr>
      <w:color w:val="0000FF" w:themeColor="hyperlink"/>
      <w:u w:val="single"/>
    </w:rPr>
  </w:style>
  <w:style w:type="paragraph" w:styleId="BalloonText">
    <w:name w:val="Balloon Text"/>
    <w:basedOn w:val="Normal"/>
    <w:link w:val="BalloonTextChar"/>
    <w:uiPriority w:val="99"/>
    <w:semiHidden/>
    <w:unhideWhenUsed/>
    <w:rsid w:val="001D7B25"/>
    <w:rPr>
      <w:rFonts w:ascii="Tahoma" w:hAnsi="Tahoma" w:cs="Tahoma"/>
      <w:sz w:val="16"/>
      <w:szCs w:val="16"/>
    </w:rPr>
  </w:style>
  <w:style w:type="character" w:customStyle="1" w:styleId="BalloonTextChar">
    <w:name w:val="Balloon Text Char"/>
    <w:basedOn w:val="DefaultParagraphFont"/>
    <w:link w:val="BalloonText"/>
    <w:uiPriority w:val="99"/>
    <w:semiHidden/>
    <w:rsid w:val="001D7B2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59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naman@blm.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pnaman</dc:creator>
  <cp:lastModifiedBy>bwallace</cp:lastModifiedBy>
  <cp:revision>2</cp:revision>
  <cp:lastPrinted>2013-03-06T17:09:00Z</cp:lastPrinted>
  <dcterms:created xsi:type="dcterms:W3CDTF">2013-03-06T23:05:00Z</dcterms:created>
  <dcterms:modified xsi:type="dcterms:W3CDTF">2013-03-06T23:05:00Z</dcterms:modified>
</cp:coreProperties>
</file>