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C9" w:rsidRDefault="006A6BC9" w:rsidP="006A6BC9">
      <w:pPr>
        <w:jc w:val="center"/>
        <w:rPr>
          <w:sz w:val="18"/>
          <w:szCs w:val="18"/>
        </w:rPr>
      </w:pPr>
      <w:r>
        <w:rPr>
          <w:rFonts w:ascii="Verdana" w:hAnsi="Verdana"/>
          <w:noProof/>
          <w:color w:val="0000CC"/>
        </w:rPr>
        <w:drawing>
          <wp:inline distT="0" distB="0" distL="0" distR="0">
            <wp:extent cx="457200" cy="609600"/>
            <wp:effectExtent l="0" t="0" r="0" b="0"/>
            <wp:docPr id="10" name="Picture 10" descr="NP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descr="NPS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Pr>
          <w:rFonts w:ascii="Verdana" w:hAnsi="Verdana"/>
          <w:noProof/>
          <w:color w:val="0000CC"/>
        </w:rPr>
        <w:drawing>
          <wp:inline distT="0" distB="0" distL="0" distR="0">
            <wp:extent cx="514350" cy="600075"/>
            <wp:effectExtent l="0" t="0" r="0" b="0"/>
            <wp:docPr id="9" name="Picture 9" descr="BLM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descr="BLM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r>
        <w:rPr>
          <w:rFonts w:ascii="Verdana" w:hAnsi="Verdana"/>
          <w:noProof/>
          <w:color w:val="0000CC"/>
        </w:rPr>
        <w:drawing>
          <wp:inline distT="0" distB="0" distL="0" distR="0">
            <wp:extent cx="447675" cy="590550"/>
            <wp:effectExtent l="0" t="0" r="0" b="0"/>
            <wp:docPr id="8" name="Picture 8" descr="FW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 descr="FWS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r>
        <w:rPr>
          <w:rFonts w:ascii="Verdana" w:hAnsi="Verdana"/>
          <w:noProof/>
          <w:color w:val="0000CC"/>
        </w:rPr>
        <w:drawing>
          <wp:inline distT="0" distB="0" distL="0" distR="0">
            <wp:extent cx="581025" cy="571500"/>
            <wp:effectExtent l="0" t="0" r="0" b="0"/>
            <wp:docPr id="7" name="Picture 7" descr="WYS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S" descr="WYS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Pr>
          <w:rFonts w:ascii="Verdana" w:hAnsi="Verdana"/>
          <w:noProof/>
          <w:color w:val="0000CC"/>
        </w:rPr>
        <w:drawing>
          <wp:inline distT="0" distB="0" distL="0" distR="0">
            <wp:extent cx="857250" cy="504825"/>
            <wp:effectExtent l="0" t="0" r="0" b="0"/>
            <wp:docPr id="6" name="Picture 6" descr="NEMA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A" descr="NEMA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7250" cy="504825"/>
                    </a:xfrm>
                    <a:prstGeom prst="rect">
                      <a:avLst/>
                    </a:prstGeom>
                    <a:noFill/>
                    <a:ln>
                      <a:noFill/>
                    </a:ln>
                  </pic:spPr>
                </pic:pic>
              </a:graphicData>
            </a:graphic>
          </wp:inline>
        </w:drawing>
      </w:r>
      <w:r>
        <w:rPr>
          <w:rFonts w:ascii="Verdana" w:hAnsi="Verdana"/>
          <w:noProof/>
          <w:color w:val="0000CC"/>
        </w:rPr>
        <w:drawing>
          <wp:inline distT="0" distB="0" distL="0" distR="0">
            <wp:extent cx="647700" cy="609600"/>
            <wp:effectExtent l="0" t="0" r="0" b="0"/>
            <wp:docPr id="5" name="Picture 5" descr="BIA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descr="BIA Log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r>
        <w:rPr>
          <w:rFonts w:ascii="Verdana" w:hAnsi="Verdana"/>
          <w:noProof/>
          <w:color w:val="0000CC"/>
        </w:rPr>
        <w:drawing>
          <wp:inline distT="0" distB="0" distL="0" distR="0">
            <wp:extent cx="590550" cy="609600"/>
            <wp:effectExtent l="0" t="0" r="0" b="0"/>
            <wp:docPr id="4" name="Picture 4" descr="USFS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 descr="USFS Log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Pr>
          <w:rFonts w:ascii="Verdana" w:hAnsi="Verdana"/>
          <w:noProof/>
          <w:color w:val="0000CC"/>
        </w:rPr>
        <w:drawing>
          <wp:inline distT="0" distB="0" distL="0" distR="0">
            <wp:extent cx="600075" cy="600075"/>
            <wp:effectExtent l="0" t="0" r="0" b="0"/>
            <wp:docPr id="3" name="Picture 3" descr="SD WFS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 descr="SD WFS Log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noProof/>
          <w:color w:val="0000CC"/>
        </w:rPr>
        <w:drawing>
          <wp:inline distT="0" distB="0" distL="0" distR="0">
            <wp:extent cx="619125" cy="609600"/>
            <wp:effectExtent l="0" t="0" r="0" b="0"/>
            <wp:docPr id="2" name="Picture 2" descr="Nebraska Forest Service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ebraska Forest Service Logo">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p w:rsidR="009909FF" w:rsidRDefault="009909FF" w:rsidP="000B3791">
      <w:pPr>
        <w:rPr>
          <w:sz w:val="18"/>
          <w:szCs w:val="18"/>
        </w:rPr>
      </w:pPr>
    </w:p>
    <w:p w:rsidR="009909FF" w:rsidRDefault="009909FF" w:rsidP="009909FF">
      <w:pPr>
        <w:jc w:val="center"/>
        <w:rPr>
          <w:sz w:val="22"/>
          <w:szCs w:val="22"/>
        </w:rPr>
      </w:pPr>
      <w:bookmarkStart w:id="0" w:name="_GoBack"/>
      <w:bookmarkEnd w:id="0"/>
      <w:r>
        <w:rPr>
          <w:sz w:val="22"/>
          <w:szCs w:val="22"/>
        </w:rPr>
        <w:t>GREAT PLAINS INTERAGENCY DISPATCH CENTER</w:t>
      </w:r>
    </w:p>
    <w:p w:rsidR="009909FF" w:rsidRDefault="006A6BC9" w:rsidP="009909FF">
      <w:pPr>
        <w:jc w:val="center"/>
        <w:rPr>
          <w:sz w:val="18"/>
          <w:szCs w:val="18"/>
        </w:rPr>
      </w:pPr>
      <w:r>
        <w:rPr>
          <w:sz w:val="18"/>
          <w:szCs w:val="18"/>
        </w:rPr>
        <w:t>8123 MT RUSHMORE RD, RAPID CITY, SD 57702</w:t>
      </w:r>
    </w:p>
    <w:p w:rsidR="009909FF" w:rsidRDefault="009909FF" w:rsidP="009909FF">
      <w:pPr>
        <w:jc w:val="center"/>
        <w:rPr>
          <w:sz w:val="18"/>
          <w:szCs w:val="18"/>
        </w:rPr>
      </w:pPr>
      <w:r>
        <w:rPr>
          <w:sz w:val="18"/>
          <w:szCs w:val="18"/>
        </w:rPr>
        <w:t>PHONE:  605-393-8017</w:t>
      </w:r>
    </w:p>
    <w:p w:rsidR="009909FF" w:rsidRDefault="009909FF" w:rsidP="009909FF">
      <w:pPr>
        <w:jc w:val="center"/>
        <w:rPr>
          <w:sz w:val="18"/>
          <w:szCs w:val="18"/>
        </w:rPr>
      </w:pPr>
      <w:r>
        <w:rPr>
          <w:sz w:val="18"/>
          <w:szCs w:val="18"/>
        </w:rPr>
        <w:t>FAX:  605-393-8030</w:t>
      </w:r>
    </w:p>
    <w:p w:rsidR="00F93659" w:rsidRDefault="00F93659" w:rsidP="00F93659">
      <w:pPr>
        <w:ind w:left="360"/>
        <w:rPr>
          <w:b/>
          <w:u w:val="single"/>
        </w:rPr>
      </w:pPr>
    </w:p>
    <w:p w:rsidR="00F93659" w:rsidRDefault="00F93659" w:rsidP="00F93659">
      <w:pPr>
        <w:ind w:left="360"/>
        <w:rPr>
          <w:b/>
          <w:u w:val="single"/>
        </w:rPr>
      </w:pPr>
    </w:p>
    <w:p w:rsidR="00F93659" w:rsidRDefault="00F93659" w:rsidP="00551B37">
      <w:pPr>
        <w:rPr>
          <w:b/>
          <w:u w:val="single"/>
        </w:rPr>
      </w:pPr>
      <w:r>
        <w:rPr>
          <w:b/>
          <w:u w:val="single"/>
        </w:rPr>
        <w:t>Move-Up and Cover and Backfill</w:t>
      </w:r>
      <w:r w:rsidR="00D47968">
        <w:rPr>
          <w:b/>
          <w:u w:val="single"/>
        </w:rPr>
        <w:t xml:space="preserve"> Guidelines</w:t>
      </w:r>
    </w:p>
    <w:p w:rsidR="00F93659" w:rsidRDefault="00F93659" w:rsidP="00F93659">
      <w:pPr>
        <w:ind w:left="360"/>
      </w:pPr>
    </w:p>
    <w:p w:rsidR="00F93659" w:rsidRDefault="00F93659" w:rsidP="00551B37">
      <w:r>
        <w:t>Move-up and cover will be done to temporarily restore initial attack capab</w:t>
      </w:r>
      <w:r w:rsidR="007821A9">
        <w:t>ility within</w:t>
      </w:r>
      <w:r>
        <w:t xml:space="preserve"> a response zone, when dedicated resources are depleted.  Closest resources concept will be used to implement move-up and cover.  Move-up and cover will be done through GPC in consultation with the primary duty officers of the affected response zones.</w:t>
      </w:r>
    </w:p>
    <w:p w:rsidR="00F93659" w:rsidRDefault="00F93659" w:rsidP="00F93659">
      <w:pPr>
        <w:ind w:left="360"/>
      </w:pPr>
    </w:p>
    <w:p w:rsidR="00F93659" w:rsidRDefault="00F93659" w:rsidP="00551B37">
      <w:r>
        <w:t xml:space="preserve">Backfill is a term to describe the augmentation of assigned resources by using resources within the dispatch zone to maintain local initial attack capability. </w:t>
      </w:r>
      <w:r w:rsidR="00BC4E11">
        <w:t>i.e.</w:t>
      </w:r>
      <w:r>
        <w:t>, detailing resources from out-of area for a long duration.  Generally decisions for b</w:t>
      </w:r>
      <w:r w:rsidR="00D47968">
        <w:t>ackfilling should</w:t>
      </w:r>
      <w:r>
        <w:t xml:space="preserve"> be coordinated through the local MAC.</w:t>
      </w:r>
    </w:p>
    <w:p w:rsidR="00F93659" w:rsidRDefault="00F93659" w:rsidP="00F93659">
      <w:pPr>
        <w:ind w:left="360"/>
      </w:pPr>
    </w:p>
    <w:p w:rsidR="00F93659" w:rsidRDefault="00F93659" w:rsidP="00551B37">
      <w:pPr>
        <w:pStyle w:val="ListParagraph"/>
        <w:numPr>
          <w:ilvl w:val="0"/>
          <w:numId w:val="6"/>
        </w:numPr>
      </w:pPr>
      <w:r>
        <w:t xml:space="preserve">Funding for move-up and cover resources will be funded by the fire that initiated and precipitated the need.  GPC will </w:t>
      </w:r>
      <w:r w:rsidR="00D47968">
        <w:t xml:space="preserve">be </w:t>
      </w:r>
      <w:r w:rsidR="00E3573A">
        <w:t xml:space="preserve">responsible for the issuance </w:t>
      </w:r>
      <w:r>
        <w:t>of the Firecode for the funding authorization.</w:t>
      </w:r>
    </w:p>
    <w:p w:rsidR="00F93659" w:rsidRDefault="00F93659" w:rsidP="00F93659">
      <w:pPr>
        <w:numPr>
          <w:ilvl w:val="0"/>
          <w:numId w:val="6"/>
        </w:numPr>
      </w:pPr>
      <w:r>
        <w:t>Resources assigned will be self-sufficient and expected to support the assignment for the time needed.</w:t>
      </w:r>
    </w:p>
    <w:p w:rsidR="007821A9" w:rsidRDefault="007821A9" w:rsidP="00F93659">
      <w:pPr>
        <w:numPr>
          <w:ilvl w:val="0"/>
          <w:numId w:val="6"/>
        </w:numPr>
      </w:pPr>
      <w:r>
        <w:t>Each agency/unit will be responsible for</w:t>
      </w:r>
      <w:r w:rsidR="00DC783B">
        <w:t xml:space="preserve"> briefing incoming and/or out of</w:t>
      </w:r>
      <w:r>
        <w:t xml:space="preserve"> area Backfill resources, as identi</w:t>
      </w:r>
      <w:r w:rsidR="00DC783B">
        <w:t>fied in the Incident Response Pocket Guide</w:t>
      </w:r>
      <w:r w:rsidR="00F61A3B">
        <w:t>.</w:t>
      </w:r>
    </w:p>
    <w:p w:rsidR="00F61A3B" w:rsidRDefault="00F61A3B" w:rsidP="00F61A3B">
      <w:pPr>
        <w:numPr>
          <w:ilvl w:val="1"/>
          <w:numId w:val="6"/>
        </w:numPr>
      </w:pPr>
      <w:r>
        <w:t xml:space="preserve">Information </w:t>
      </w:r>
      <w:r w:rsidR="00F42145">
        <w:t xml:space="preserve">to make available </w:t>
      </w:r>
      <w:r>
        <w:t>include map</w:t>
      </w:r>
      <w:r w:rsidR="00F42145">
        <w:t>(s)</w:t>
      </w:r>
      <w:r>
        <w:t xml:space="preserve">, contacts and phone numbers, radio frequencies, hazards in area, special concerns in area, local organizational chart, </w:t>
      </w:r>
      <w:r w:rsidR="00F42145">
        <w:t xml:space="preserve">resources, </w:t>
      </w:r>
      <w:r>
        <w:t>and local pocket cards.</w:t>
      </w:r>
    </w:p>
    <w:p w:rsidR="009909FF" w:rsidRDefault="009909FF" w:rsidP="000B3791">
      <w:pPr>
        <w:rPr>
          <w:sz w:val="18"/>
          <w:szCs w:val="18"/>
        </w:rPr>
      </w:pPr>
    </w:p>
    <w:p w:rsidR="000374C5" w:rsidRDefault="00551B37" w:rsidP="000374C5">
      <w:pPr>
        <w:pStyle w:val="Title"/>
        <w:jc w:val="left"/>
        <w:rPr>
          <w:b w:val="0"/>
          <w:bCs w:val="0"/>
          <w:sz w:val="24"/>
        </w:rPr>
      </w:pPr>
      <w:r>
        <w:rPr>
          <w:b w:val="0"/>
          <w:sz w:val="24"/>
        </w:rPr>
        <w:t>Move-</w:t>
      </w:r>
      <w:r w:rsidR="000374C5">
        <w:rPr>
          <w:b w:val="0"/>
          <w:sz w:val="24"/>
        </w:rPr>
        <w:t xml:space="preserve">up and cover may require one or more overnight stays at the covered station. </w:t>
      </w:r>
      <w:r>
        <w:rPr>
          <w:b w:val="0"/>
          <w:bCs w:val="0"/>
          <w:sz w:val="24"/>
        </w:rPr>
        <w:t>For overnight dispatches, employees will follow the</w:t>
      </w:r>
      <w:r w:rsidR="000374C5">
        <w:rPr>
          <w:b w:val="0"/>
          <w:bCs w:val="0"/>
          <w:sz w:val="24"/>
        </w:rPr>
        <w:t xml:space="preserve"> 2:1 work to rest g</w:t>
      </w:r>
      <w:r>
        <w:rPr>
          <w:b w:val="0"/>
          <w:bCs w:val="0"/>
          <w:sz w:val="24"/>
        </w:rPr>
        <w:t xml:space="preserve">uidelines. </w:t>
      </w:r>
    </w:p>
    <w:p w:rsidR="000374C5" w:rsidRDefault="000374C5" w:rsidP="000374C5">
      <w:pPr>
        <w:pStyle w:val="Title"/>
        <w:jc w:val="left"/>
        <w:rPr>
          <w:b w:val="0"/>
          <w:bCs w:val="0"/>
          <w:sz w:val="24"/>
        </w:rPr>
      </w:pPr>
    </w:p>
    <w:p w:rsidR="00F672F1" w:rsidRDefault="00F672F1" w:rsidP="00F672F1">
      <w:r>
        <w:t>The work/rest guidelines</w:t>
      </w:r>
      <w:r>
        <w:rPr>
          <w:b/>
          <w:bCs/>
        </w:rPr>
        <w:t xml:space="preserve"> apply to all employees</w:t>
      </w:r>
      <w:r w:rsidR="00170ED5">
        <w:t xml:space="preserve"> in the GPC Zone</w:t>
      </w:r>
      <w:r>
        <w:t xml:space="preserve"> either on their home unit or on an assignment away from their official duty station.  An example of this would be after a 24 hour shift involving initial attack activities on the home </w:t>
      </w:r>
      <w:r w:rsidR="00170ED5">
        <w:t>unit;</w:t>
      </w:r>
      <w:r>
        <w:t xml:space="preserve"> the individual would be required to have 12 hours off shift prior to returning to duty status.  In addition, all work shifts exceeding 16 hours will be approved and documented by the appropriate Agency Administrator, Incident Commander, or other individual with expressly delegated authority.</w:t>
      </w:r>
    </w:p>
    <w:p w:rsidR="000374C5" w:rsidRDefault="000374C5" w:rsidP="000B3791">
      <w:pPr>
        <w:rPr>
          <w:sz w:val="18"/>
          <w:szCs w:val="18"/>
        </w:rPr>
      </w:pPr>
    </w:p>
    <w:p w:rsidR="000374C5" w:rsidRDefault="000374C5" w:rsidP="000B3791">
      <w:pPr>
        <w:rPr>
          <w:sz w:val="18"/>
          <w:szCs w:val="18"/>
        </w:rPr>
      </w:pPr>
    </w:p>
    <w:p w:rsidR="00DC783B" w:rsidRDefault="00DC783B" w:rsidP="000B3791">
      <w:pPr>
        <w:rPr>
          <w:sz w:val="18"/>
          <w:szCs w:val="18"/>
        </w:rPr>
      </w:pPr>
    </w:p>
    <w:p w:rsidR="00DC783B" w:rsidRDefault="00DC783B" w:rsidP="000B3791">
      <w:pPr>
        <w:rPr>
          <w:sz w:val="18"/>
          <w:szCs w:val="18"/>
        </w:rPr>
      </w:pPr>
    </w:p>
    <w:p w:rsidR="00DC783B" w:rsidRDefault="00DC783B" w:rsidP="000B3791">
      <w:pPr>
        <w:rPr>
          <w:sz w:val="18"/>
          <w:szCs w:val="18"/>
        </w:rPr>
      </w:pPr>
    </w:p>
    <w:sectPr w:rsidR="00DC783B" w:rsidSect="00E756BD">
      <w:headerReference w:type="even" r:id="rId25"/>
      <w:headerReference w:type="default" r:id="rId26"/>
      <w:footerReference w:type="even" r:id="rId27"/>
      <w:footerReference w:type="default" r:id="rId28"/>
      <w:headerReference w:type="first" r:id="rId29"/>
      <w:footerReference w:type="firs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260" w:rsidRDefault="008B4260" w:rsidP="00551B37">
      <w:r>
        <w:separator/>
      </w:r>
    </w:p>
  </w:endnote>
  <w:endnote w:type="continuationSeparator" w:id="0">
    <w:p w:rsidR="008B4260" w:rsidRDefault="008B4260" w:rsidP="0055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C1" w:rsidRDefault="00C14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37" w:rsidRDefault="004D066E" w:rsidP="00551B37">
    <w:pPr>
      <w:pStyle w:val="Footer"/>
      <w:jc w:val="right"/>
    </w:pPr>
    <w:r>
      <w:t>R</w:t>
    </w:r>
    <w:r w:rsidR="00C148C1">
      <w:t>evised February 21,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C1" w:rsidRDefault="00C14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260" w:rsidRDefault="008B4260" w:rsidP="00551B37">
      <w:r>
        <w:separator/>
      </w:r>
    </w:p>
  </w:footnote>
  <w:footnote w:type="continuationSeparator" w:id="0">
    <w:p w:rsidR="008B4260" w:rsidRDefault="008B4260" w:rsidP="0055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C1" w:rsidRDefault="00C14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C1" w:rsidRDefault="00C148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C1" w:rsidRDefault="00C14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3CEC"/>
    <w:multiLevelType w:val="hybridMultilevel"/>
    <w:tmpl w:val="A63E2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59645A8"/>
    <w:multiLevelType w:val="hybridMultilevel"/>
    <w:tmpl w:val="0A5E28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672AE"/>
    <w:multiLevelType w:val="hybridMultilevel"/>
    <w:tmpl w:val="A9E2CC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0B4DED"/>
    <w:multiLevelType w:val="hybridMultilevel"/>
    <w:tmpl w:val="9E746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1D42B0"/>
    <w:multiLevelType w:val="hybridMultilevel"/>
    <w:tmpl w:val="5A804388"/>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597C3CFF"/>
    <w:multiLevelType w:val="hybridMultilevel"/>
    <w:tmpl w:val="6EECD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0"/>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F69DC"/>
    <w:rsid w:val="00034B8D"/>
    <w:rsid w:val="000374C5"/>
    <w:rsid w:val="0008102D"/>
    <w:rsid w:val="000B3791"/>
    <w:rsid w:val="000F0947"/>
    <w:rsid w:val="00170ED5"/>
    <w:rsid w:val="001E74D4"/>
    <w:rsid w:val="003174FA"/>
    <w:rsid w:val="004B60A6"/>
    <w:rsid w:val="004D066E"/>
    <w:rsid w:val="00551B37"/>
    <w:rsid w:val="00593970"/>
    <w:rsid w:val="006A6BC9"/>
    <w:rsid w:val="006F69DC"/>
    <w:rsid w:val="00712DCE"/>
    <w:rsid w:val="007821A9"/>
    <w:rsid w:val="008B4260"/>
    <w:rsid w:val="009909FF"/>
    <w:rsid w:val="00A253CE"/>
    <w:rsid w:val="00BC4E11"/>
    <w:rsid w:val="00C148C1"/>
    <w:rsid w:val="00D47968"/>
    <w:rsid w:val="00DC783B"/>
    <w:rsid w:val="00E3573A"/>
    <w:rsid w:val="00E756BD"/>
    <w:rsid w:val="00F42145"/>
    <w:rsid w:val="00F61A3B"/>
    <w:rsid w:val="00F672F1"/>
    <w:rsid w:val="00F93659"/>
    <w:rsid w:val="00F9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AD959D-BE15-4485-9C22-69547FA2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756BD"/>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autoSpaceDE w:val="0"/>
      <w:autoSpaceDN w:val="0"/>
      <w:adjustRightInd w:val="0"/>
    </w:pPr>
    <w:rPr>
      <w:rFonts w:ascii="Arial" w:hAnsi="Arial" w:cs="Arial"/>
      <w:noProof/>
      <w:color w:val="000000"/>
    </w:rPr>
  </w:style>
  <w:style w:type="paragraph" w:styleId="BodyText2">
    <w:name w:val="Body Text 2"/>
    <w:basedOn w:val="Normal"/>
    <w:rsid w:val="00E756BD"/>
    <w:pPr>
      <w:ind w:right="720"/>
    </w:pPr>
    <w:rPr>
      <w:rFonts w:ascii="Arial" w:hAnsi="Arial" w:cs="Arial"/>
      <w:sz w:val="20"/>
      <w:szCs w:val="20"/>
    </w:rPr>
  </w:style>
  <w:style w:type="paragraph" w:styleId="BlockText">
    <w:name w:val="Block Text"/>
    <w:basedOn w:val="Normal"/>
    <w:rsid w:val="00E756BD"/>
    <w:pPr>
      <w:ind w:left="360" w:right="720"/>
    </w:pPr>
    <w:rPr>
      <w:rFonts w:ascii="Arial" w:hAnsi="Arial" w:cs="Arial"/>
      <w:sz w:val="20"/>
      <w:szCs w:val="20"/>
    </w:rPr>
  </w:style>
  <w:style w:type="paragraph" w:styleId="BalloonText">
    <w:name w:val="Balloon Text"/>
    <w:basedOn w:val="Normal"/>
    <w:semiHidden/>
    <w:rsid w:val="00E756BD"/>
    <w:rPr>
      <w:rFonts w:ascii="Tahoma" w:hAnsi="Tahoma" w:cs="Tahoma"/>
      <w:sz w:val="16"/>
      <w:szCs w:val="16"/>
    </w:rPr>
  </w:style>
  <w:style w:type="paragraph" w:styleId="Title">
    <w:name w:val="Title"/>
    <w:basedOn w:val="Normal"/>
    <w:link w:val="TitleChar"/>
    <w:qFormat/>
    <w:rsid w:val="000374C5"/>
    <w:pPr>
      <w:jc w:val="center"/>
    </w:pPr>
    <w:rPr>
      <w:b/>
      <w:bCs/>
      <w:sz w:val="28"/>
    </w:rPr>
  </w:style>
  <w:style w:type="character" w:customStyle="1" w:styleId="TitleChar">
    <w:name w:val="Title Char"/>
    <w:basedOn w:val="DefaultParagraphFont"/>
    <w:link w:val="Title"/>
    <w:rsid w:val="000374C5"/>
    <w:rPr>
      <w:b/>
      <w:bCs/>
      <w:sz w:val="28"/>
      <w:szCs w:val="24"/>
    </w:rPr>
  </w:style>
  <w:style w:type="paragraph" w:styleId="Header">
    <w:name w:val="header"/>
    <w:basedOn w:val="Normal"/>
    <w:link w:val="HeaderChar"/>
    <w:uiPriority w:val="99"/>
    <w:unhideWhenUsed/>
    <w:rsid w:val="00551B37"/>
    <w:pPr>
      <w:tabs>
        <w:tab w:val="center" w:pos="4680"/>
        <w:tab w:val="right" w:pos="9360"/>
      </w:tabs>
    </w:pPr>
  </w:style>
  <w:style w:type="character" w:customStyle="1" w:styleId="HeaderChar">
    <w:name w:val="Header Char"/>
    <w:basedOn w:val="DefaultParagraphFont"/>
    <w:link w:val="Header"/>
    <w:uiPriority w:val="99"/>
    <w:rsid w:val="00551B37"/>
    <w:rPr>
      <w:sz w:val="24"/>
      <w:szCs w:val="24"/>
    </w:rPr>
  </w:style>
  <w:style w:type="paragraph" w:styleId="Footer">
    <w:name w:val="footer"/>
    <w:basedOn w:val="Normal"/>
    <w:link w:val="FooterChar"/>
    <w:uiPriority w:val="99"/>
    <w:unhideWhenUsed/>
    <w:rsid w:val="00551B37"/>
    <w:pPr>
      <w:tabs>
        <w:tab w:val="center" w:pos="4680"/>
        <w:tab w:val="right" w:pos="9360"/>
      </w:tabs>
    </w:pPr>
  </w:style>
  <w:style w:type="character" w:customStyle="1" w:styleId="FooterChar">
    <w:name w:val="Footer Char"/>
    <w:basedOn w:val="DefaultParagraphFont"/>
    <w:link w:val="Footer"/>
    <w:uiPriority w:val="99"/>
    <w:rsid w:val="00551B37"/>
    <w:rPr>
      <w:sz w:val="24"/>
      <w:szCs w:val="24"/>
    </w:rPr>
  </w:style>
  <w:style w:type="paragraph" w:styleId="ListParagraph">
    <w:name w:val="List Paragraph"/>
    <w:basedOn w:val="Normal"/>
    <w:uiPriority w:val="34"/>
    <w:qFormat/>
    <w:rsid w:val="00551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04033">
      <w:bodyDiv w:val="1"/>
      <w:marLeft w:val="0"/>
      <w:marRight w:val="0"/>
      <w:marTop w:val="0"/>
      <w:marBottom w:val="0"/>
      <w:divBdr>
        <w:top w:val="none" w:sz="0" w:space="0" w:color="auto"/>
        <w:left w:val="none" w:sz="0" w:space="0" w:color="auto"/>
        <w:bottom w:val="none" w:sz="0" w:space="0" w:color="auto"/>
        <w:right w:val="none" w:sz="0" w:space="0" w:color="auto"/>
      </w:divBdr>
    </w:div>
    <w:div w:id="11195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sfd.wyo.gov/" TargetMode="External"/><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ildlandfire.sd.gov/" TargetMode="External"/><Relationship Id="rId7" Type="http://schemas.openxmlformats.org/officeDocument/2006/relationships/hyperlink" Target="http://www.nps.gov/" TargetMode="External"/><Relationship Id="rId12" Type="http://schemas.openxmlformats.org/officeDocument/2006/relationships/image" Target="media/image3.png"/><Relationship Id="rId17" Type="http://schemas.openxmlformats.org/officeDocument/2006/relationships/hyperlink" Target="https://www.bia.gov/services/wildland-fir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ws.gov/mountain-prairie/refuges/fireManagement.php"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ema.nebraska.gov/operations/fire-drought" TargetMode="External"/><Relationship Id="rId23" Type="http://schemas.openxmlformats.org/officeDocument/2006/relationships/hyperlink" Target="https://nfs.unl.edu/"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fs.fed.us/fi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m.gov/"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USDA Forest Service</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FSDefaultUser</dc:creator>
  <cp:keywords/>
  <dc:description/>
  <cp:lastModifiedBy>Schaefbauer, August - FS</cp:lastModifiedBy>
  <cp:revision>10</cp:revision>
  <cp:lastPrinted>2003-05-23T17:24:00Z</cp:lastPrinted>
  <dcterms:created xsi:type="dcterms:W3CDTF">2011-01-21T16:21:00Z</dcterms:created>
  <dcterms:modified xsi:type="dcterms:W3CDTF">2019-02-21T18:55:00Z</dcterms:modified>
</cp:coreProperties>
</file>