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91" w:rsidRDefault="00D54C31" w:rsidP="009909FF">
      <w:pPr>
        <w:jc w:val="center"/>
        <w:rPr>
          <w:sz w:val="18"/>
          <w:szCs w:val="18"/>
        </w:rPr>
      </w:pPr>
      <w:r>
        <w:rPr>
          <w:rFonts w:ascii="Verdana" w:hAnsi="Verdana"/>
          <w:noProof/>
          <w:color w:val="0000CC"/>
        </w:rPr>
        <w:drawing>
          <wp:inline distT="0" distB="0" distL="0" distR="0" wp14:anchorId="426DC836" wp14:editId="55B3B867">
            <wp:extent cx="454090" cy="609600"/>
            <wp:effectExtent l="0" t="0" r="0" b="0"/>
            <wp:docPr id="55" name="NPS" descr="N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descr="NP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05" cy="620494"/>
                    </a:xfrm>
                    <a:prstGeom prst="rect">
                      <a:avLst/>
                    </a:prstGeom>
                    <a:noFill/>
                    <a:ln>
                      <a:noFill/>
                    </a:ln>
                  </pic:spPr>
                </pic:pic>
              </a:graphicData>
            </a:graphic>
          </wp:inline>
        </w:drawing>
      </w:r>
      <w:r>
        <w:rPr>
          <w:rFonts w:ascii="Verdana" w:hAnsi="Verdana"/>
          <w:noProof/>
          <w:color w:val="0000CC"/>
        </w:rPr>
        <w:drawing>
          <wp:inline distT="0" distB="0" distL="0" distR="0" wp14:anchorId="08A6AA65" wp14:editId="2600654E">
            <wp:extent cx="517959" cy="600075"/>
            <wp:effectExtent l="0" t="0" r="0" b="0"/>
            <wp:docPr id="56" name="BLM" descr="BLM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descr="BLM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78" cy="609713"/>
                    </a:xfrm>
                    <a:prstGeom prst="rect">
                      <a:avLst/>
                    </a:prstGeom>
                    <a:noFill/>
                    <a:ln>
                      <a:noFill/>
                    </a:ln>
                  </pic:spPr>
                </pic:pic>
              </a:graphicData>
            </a:graphic>
          </wp:inline>
        </w:drawing>
      </w:r>
      <w:r>
        <w:rPr>
          <w:rFonts w:ascii="Verdana" w:hAnsi="Verdana"/>
          <w:noProof/>
          <w:color w:val="0000CC"/>
        </w:rPr>
        <w:drawing>
          <wp:inline distT="0" distB="0" distL="0" distR="0" wp14:anchorId="7CE391F2" wp14:editId="320562FD">
            <wp:extent cx="449332" cy="590550"/>
            <wp:effectExtent l="0" t="0" r="0" b="0"/>
            <wp:docPr id="57" name="FWS" descr="FW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descr="FW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409" cy="610365"/>
                    </a:xfrm>
                    <a:prstGeom prst="rect">
                      <a:avLst/>
                    </a:prstGeom>
                    <a:noFill/>
                    <a:ln>
                      <a:noFill/>
                    </a:ln>
                  </pic:spPr>
                </pic:pic>
              </a:graphicData>
            </a:graphic>
          </wp:inline>
        </w:drawing>
      </w:r>
      <w:r>
        <w:rPr>
          <w:rFonts w:ascii="Verdana" w:hAnsi="Verdana"/>
          <w:noProof/>
          <w:color w:val="0000CC"/>
        </w:rPr>
        <w:drawing>
          <wp:inline distT="0" distB="0" distL="0" distR="0" wp14:anchorId="4162E607" wp14:editId="21AAAB40">
            <wp:extent cx="577781" cy="571500"/>
            <wp:effectExtent l="0" t="0" r="0" b="0"/>
            <wp:docPr id="58" name="WYS" descr="WY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 descr="WY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635" cy="585203"/>
                    </a:xfrm>
                    <a:prstGeom prst="rect">
                      <a:avLst/>
                    </a:prstGeom>
                    <a:noFill/>
                    <a:ln>
                      <a:noFill/>
                    </a:ln>
                  </pic:spPr>
                </pic:pic>
              </a:graphicData>
            </a:graphic>
          </wp:inline>
        </w:drawing>
      </w:r>
      <w:r>
        <w:rPr>
          <w:rFonts w:ascii="Verdana" w:hAnsi="Verdana"/>
          <w:noProof/>
          <w:color w:val="0000CC"/>
        </w:rPr>
        <w:drawing>
          <wp:inline distT="0" distB="0" distL="0" distR="0" wp14:anchorId="0A1F70CA" wp14:editId="27015183">
            <wp:extent cx="855234" cy="504825"/>
            <wp:effectExtent l="0" t="0" r="0" b="0"/>
            <wp:docPr id="59" name="NEMA" descr="NEMA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descr="NEMA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9142" cy="513034"/>
                    </a:xfrm>
                    <a:prstGeom prst="rect">
                      <a:avLst/>
                    </a:prstGeom>
                    <a:noFill/>
                    <a:ln>
                      <a:noFill/>
                    </a:ln>
                  </pic:spPr>
                </pic:pic>
              </a:graphicData>
            </a:graphic>
          </wp:inline>
        </w:drawing>
      </w:r>
      <w:r>
        <w:rPr>
          <w:rFonts w:ascii="Verdana" w:hAnsi="Verdana"/>
          <w:noProof/>
          <w:color w:val="0000CC"/>
        </w:rPr>
        <w:drawing>
          <wp:inline distT="0" distB="0" distL="0" distR="0" wp14:anchorId="7336AB7A" wp14:editId="3B386B55">
            <wp:extent cx="642373" cy="609600"/>
            <wp:effectExtent l="0" t="0" r="0" b="0"/>
            <wp:docPr id="60" name="BIA" descr="BIA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descr="BIA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557" cy="617366"/>
                    </a:xfrm>
                    <a:prstGeom prst="rect">
                      <a:avLst/>
                    </a:prstGeom>
                    <a:noFill/>
                    <a:ln>
                      <a:noFill/>
                    </a:ln>
                  </pic:spPr>
                </pic:pic>
              </a:graphicData>
            </a:graphic>
          </wp:inline>
        </w:drawing>
      </w:r>
      <w:r>
        <w:rPr>
          <w:rFonts w:ascii="Verdana" w:hAnsi="Verdana"/>
          <w:noProof/>
          <w:color w:val="0000CC"/>
        </w:rPr>
        <w:drawing>
          <wp:inline distT="0" distB="0" distL="0" distR="0" wp14:anchorId="135D6D12" wp14:editId="3514E0AD">
            <wp:extent cx="590349" cy="609600"/>
            <wp:effectExtent l="0" t="0" r="0" b="0"/>
            <wp:docPr id="61" name="FS" descr="USFS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descr="USFS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594" cy="619146"/>
                    </a:xfrm>
                    <a:prstGeom prst="rect">
                      <a:avLst/>
                    </a:prstGeom>
                    <a:noFill/>
                    <a:ln>
                      <a:noFill/>
                    </a:ln>
                  </pic:spPr>
                </pic:pic>
              </a:graphicData>
            </a:graphic>
          </wp:inline>
        </w:drawing>
      </w:r>
      <w:r>
        <w:rPr>
          <w:rFonts w:ascii="Verdana" w:hAnsi="Verdana"/>
          <w:noProof/>
          <w:color w:val="0000CC"/>
        </w:rPr>
        <w:drawing>
          <wp:inline distT="0" distB="0" distL="0" distR="0" wp14:anchorId="022E07DC" wp14:editId="486E4A4D">
            <wp:extent cx="600075" cy="600075"/>
            <wp:effectExtent l="0" t="0" r="0" b="0"/>
            <wp:docPr id="62" name="SDS" descr="SD WFS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descr="SD WFS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color w:val="0000CC"/>
        </w:rPr>
        <w:drawing>
          <wp:inline distT="0" distB="0" distL="0" distR="0" wp14:anchorId="3AF03EDD" wp14:editId="1EACF01D">
            <wp:extent cx="619125" cy="605811"/>
            <wp:effectExtent l="0" t="0" r="0" b="0"/>
            <wp:docPr id="63" name="Picture 63" descr="Nebraska Forest Servi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braska Forest Servi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085" cy="614578"/>
                    </a:xfrm>
                    <a:prstGeom prst="rect">
                      <a:avLst/>
                    </a:prstGeom>
                    <a:noFill/>
                    <a:ln>
                      <a:noFill/>
                    </a:ln>
                  </pic:spPr>
                </pic:pic>
              </a:graphicData>
            </a:graphic>
          </wp:inline>
        </w:drawing>
      </w:r>
    </w:p>
    <w:p w:rsidR="009909FF" w:rsidRDefault="009909FF" w:rsidP="000B3791">
      <w:pPr>
        <w:rPr>
          <w:sz w:val="18"/>
          <w:szCs w:val="18"/>
        </w:rPr>
      </w:pPr>
    </w:p>
    <w:p w:rsidR="009909FF" w:rsidRDefault="009909FF" w:rsidP="009909FF">
      <w:pPr>
        <w:jc w:val="center"/>
        <w:rPr>
          <w:sz w:val="22"/>
          <w:szCs w:val="22"/>
        </w:rPr>
      </w:pPr>
      <w:r>
        <w:rPr>
          <w:sz w:val="22"/>
          <w:szCs w:val="22"/>
        </w:rPr>
        <w:t xml:space="preserve"> GREAT PLAINS INTERAGENCY DISPATCH CENTER</w:t>
      </w:r>
    </w:p>
    <w:p w:rsidR="009909FF" w:rsidRDefault="00D54C31" w:rsidP="009909FF">
      <w:pPr>
        <w:jc w:val="center"/>
        <w:rPr>
          <w:sz w:val="18"/>
          <w:szCs w:val="18"/>
        </w:rPr>
      </w:pPr>
      <w:r>
        <w:rPr>
          <w:sz w:val="18"/>
          <w:szCs w:val="18"/>
        </w:rPr>
        <w:t>8123 MT RUSHMORE RD</w:t>
      </w:r>
      <w:r w:rsidR="00D14F1A">
        <w:rPr>
          <w:sz w:val="18"/>
          <w:szCs w:val="18"/>
        </w:rPr>
        <w:t>, RAPID CITY, SD  57702</w:t>
      </w:r>
    </w:p>
    <w:p w:rsidR="009909FF" w:rsidRDefault="009909FF" w:rsidP="009909FF">
      <w:pPr>
        <w:jc w:val="center"/>
        <w:rPr>
          <w:sz w:val="18"/>
          <w:szCs w:val="18"/>
        </w:rPr>
      </w:pPr>
      <w:r>
        <w:rPr>
          <w:sz w:val="18"/>
          <w:szCs w:val="18"/>
        </w:rPr>
        <w:t>PHONE:  605-</w:t>
      </w:r>
      <w:r w:rsidR="00D14F1A">
        <w:rPr>
          <w:sz w:val="18"/>
          <w:szCs w:val="18"/>
        </w:rPr>
        <w:t>399-3160</w:t>
      </w:r>
    </w:p>
    <w:p w:rsidR="009909FF" w:rsidRDefault="009909FF" w:rsidP="009909FF">
      <w:pPr>
        <w:jc w:val="center"/>
        <w:rPr>
          <w:sz w:val="18"/>
          <w:szCs w:val="18"/>
        </w:rPr>
      </w:pPr>
      <w:r>
        <w:rPr>
          <w:sz w:val="18"/>
          <w:szCs w:val="18"/>
        </w:rPr>
        <w:t>FAX:  605-</w:t>
      </w:r>
      <w:r w:rsidR="00D14F1A">
        <w:rPr>
          <w:sz w:val="18"/>
          <w:szCs w:val="18"/>
        </w:rPr>
        <w:t>343-5075</w:t>
      </w:r>
    </w:p>
    <w:p w:rsidR="00141BEF" w:rsidRDefault="00141BEF" w:rsidP="00141BEF"/>
    <w:p w:rsidR="00141BEF" w:rsidRDefault="00141BEF" w:rsidP="00141BEF">
      <w:pPr>
        <w:rPr>
          <w:b/>
          <w:u w:val="single"/>
        </w:rPr>
      </w:pPr>
      <w:r>
        <w:rPr>
          <w:b/>
          <w:u w:val="single"/>
        </w:rPr>
        <w:t>Initial Attack Dispatching</w:t>
      </w:r>
      <w:r w:rsidR="00EF7315">
        <w:rPr>
          <w:b/>
          <w:u w:val="single"/>
        </w:rPr>
        <w:t xml:space="preserve"> Guidelines</w:t>
      </w:r>
    </w:p>
    <w:p w:rsidR="00141BEF" w:rsidRPr="00141BEF" w:rsidRDefault="00141BEF" w:rsidP="00141BEF">
      <w:pPr>
        <w:rPr>
          <w:sz w:val="16"/>
          <w:szCs w:val="16"/>
        </w:rPr>
      </w:pPr>
    </w:p>
    <w:p w:rsidR="00141BEF" w:rsidRDefault="00141BEF" w:rsidP="00141BEF">
      <w:pPr>
        <w:ind w:left="360"/>
      </w:pPr>
      <w:r>
        <w:t>Initial attack dispatching will be based on the closest</w:t>
      </w:r>
      <w:r w:rsidR="009C6042">
        <w:t xml:space="preserve"> </w:t>
      </w:r>
      <w:r w:rsidR="009C6042" w:rsidRPr="009C6042">
        <w:rPr>
          <w:i/>
          <w:u w:val="single"/>
        </w:rPr>
        <w:t>statused</w:t>
      </w:r>
      <w:r>
        <w:t xml:space="preserve"> forces concept, irrespective of agency boundaries.</w:t>
      </w:r>
    </w:p>
    <w:p w:rsidR="00141BEF" w:rsidRPr="00141BEF" w:rsidRDefault="00141BEF" w:rsidP="00141BEF">
      <w:pPr>
        <w:ind w:left="360"/>
        <w:rPr>
          <w:sz w:val="16"/>
          <w:szCs w:val="16"/>
        </w:rPr>
      </w:pPr>
      <w:r w:rsidRPr="00141BEF">
        <w:rPr>
          <w:sz w:val="16"/>
          <w:szCs w:val="16"/>
        </w:rPr>
        <w:t xml:space="preserve">  </w:t>
      </w:r>
    </w:p>
    <w:p w:rsidR="00141BEF" w:rsidRDefault="00141BEF" w:rsidP="00141BEF">
      <w:pPr>
        <w:numPr>
          <w:ilvl w:val="0"/>
          <w:numId w:val="6"/>
        </w:numPr>
      </w:pPr>
      <w:r>
        <w:t xml:space="preserve">Dispatch will mobilize initial attack resources according to established runcards as developed by agency FMO’s </w:t>
      </w:r>
      <w:r w:rsidR="009C6042">
        <w:t xml:space="preserve">and the Great Plains Operations Committee, </w:t>
      </w:r>
      <w:r>
        <w:t xml:space="preserve">for the response zone where the fire is reported.  </w:t>
      </w:r>
    </w:p>
    <w:p w:rsidR="00357303" w:rsidRDefault="00357303" w:rsidP="00357303">
      <w:pPr>
        <w:ind w:left="360"/>
      </w:pPr>
    </w:p>
    <w:p w:rsidR="00357303" w:rsidRDefault="00357303" w:rsidP="00141BEF">
      <w:pPr>
        <w:numPr>
          <w:ilvl w:val="0"/>
          <w:numId w:val="6"/>
        </w:numPr>
      </w:pPr>
      <w:r>
        <w:t>GPC will use tone #2 to alert field resources of pending dispatch.</w:t>
      </w:r>
    </w:p>
    <w:p w:rsidR="00141BEF" w:rsidRPr="00141BEF" w:rsidRDefault="00141BEF" w:rsidP="00141BEF">
      <w:pPr>
        <w:rPr>
          <w:sz w:val="16"/>
          <w:szCs w:val="16"/>
        </w:rPr>
      </w:pPr>
    </w:p>
    <w:p w:rsidR="00141BEF" w:rsidRDefault="00141BEF" w:rsidP="00141BEF">
      <w:pPr>
        <w:numPr>
          <w:ilvl w:val="0"/>
          <w:numId w:val="6"/>
        </w:numPr>
      </w:pPr>
      <w:r>
        <w:t xml:space="preserve">The Incident Commander will order, cancel, or release resources as deemed appropriate through GPC.  All resource ordering must be coordinated through the assigned Incident Commander. </w:t>
      </w:r>
    </w:p>
    <w:p w:rsidR="00141BEF" w:rsidRPr="00141BEF" w:rsidRDefault="00141BEF" w:rsidP="00141BEF">
      <w:pPr>
        <w:rPr>
          <w:sz w:val="16"/>
          <w:szCs w:val="16"/>
        </w:rPr>
      </w:pPr>
    </w:p>
    <w:p w:rsidR="00141BEF" w:rsidRDefault="00141BEF" w:rsidP="00141BEF">
      <w:pPr>
        <w:numPr>
          <w:ilvl w:val="0"/>
          <w:numId w:val="6"/>
        </w:numPr>
      </w:pPr>
      <w:r>
        <w:t>GPC will notify the primary Duty Officer first and after a location of the incident has been established by the IC, the Jurisdictional Duty Officer will be notified if necessary in accordance with the respective state agreements.</w:t>
      </w:r>
    </w:p>
    <w:p w:rsidR="00141BEF" w:rsidRPr="00141BEF" w:rsidRDefault="00141BEF" w:rsidP="00141BEF">
      <w:pPr>
        <w:rPr>
          <w:sz w:val="16"/>
          <w:szCs w:val="16"/>
        </w:rPr>
      </w:pPr>
    </w:p>
    <w:p w:rsidR="00141BEF" w:rsidRDefault="00141BEF" w:rsidP="00141BEF">
      <w:pPr>
        <w:numPr>
          <w:ilvl w:val="0"/>
          <w:numId w:val="6"/>
        </w:numPr>
      </w:pPr>
      <w:r>
        <w:t>The Jurisdictional Duty Officer (Officer(s) in the event of more than one jurisdiction), once identified, can invoke jurisdictional prerogatives related to management of the incident. The Jurisdictional Duty Officer(s) will interface with the Initia</w:t>
      </w:r>
      <w:r w:rsidR="009C6042">
        <w:t>l Attack IC and one another (dua</w:t>
      </w:r>
      <w:r>
        <w:t>l jurisdiction) at the time that such prerogatives are exercised.</w:t>
      </w:r>
    </w:p>
    <w:p w:rsidR="00141BEF" w:rsidRPr="00141BEF" w:rsidRDefault="00141BEF" w:rsidP="00141BEF">
      <w:pPr>
        <w:rPr>
          <w:sz w:val="16"/>
          <w:szCs w:val="16"/>
        </w:rPr>
      </w:pPr>
    </w:p>
    <w:p w:rsidR="00141BEF" w:rsidRDefault="00141BEF" w:rsidP="00141BEF">
      <w:pPr>
        <w:numPr>
          <w:ilvl w:val="0"/>
          <w:numId w:val="6"/>
        </w:numPr>
      </w:pPr>
      <w:r>
        <w:t>VFD and Municipal resources can be considered part of the initial response (i</w:t>
      </w:r>
      <w:r w:rsidR="00BE14BA">
        <w:t>.</w:t>
      </w:r>
      <w:r>
        <w:t>e</w:t>
      </w:r>
      <w:r w:rsidR="00BE14BA">
        <w:t>.</w:t>
      </w:r>
      <w:r>
        <w:t xml:space="preserve"> 911 Dispatched) if so noted on the runcard.</w:t>
      </w:r>
    </w:p>
    <w:p w:rsidR="00141BEF" w:rsidRPr="00141BEF" w:rsidRDefault="00141BEF" w:rsidP="00141BEF">
      <w:pPr>
        <w:rPr>
          <w:sz w:val="16"/>
          <w:szCs w:val="16"/>
        </w:rPr>
      </w:pPr>
    </w:p>
    <w:p w:rsidR="00141BEF" w:rsidRDefault="00141BEF" w:rsidP="00141BEF">
      <w:pPr>
        <w:numPr>
          <w:ilvl w:val="0"/>
          <w:numId w:val="6"/>
        </w:numPr>
      </w:pPr>
      <w:r>
        <w:t>When GPC is not in operation, the primary duty officer will be contacted to determine</w:t>
      </w:r>
      <w:r w:rsidR="00EF7315">
        <w:t xml:space="preserve"> the appropriate response</w:t>
      </w:r>
      <w:r>
        <w:t xml:space="preserve"> for initial attack. </w:t>
      </w:r>
    </w:p>
    <w:p w:rsidR="009C6042" w:rsidRDefault="009C6042" w:rsidP="009C6042"/>
    <w:p w:rsidR="00EB5CAC" w:rsidRPr="00DF011F" w:rsidRDefault="00DF011F" w:rsidP="00DF011F">
      <w:pPr>
        <w:numPr>
          <w:ilvl w:val="0"/>
          <w:numId w:val="6"/>
        </w:numPr>
      </w:pPr>
      <w:r>
        <w:t>Duty Officers will status resources</w:t>
      </w:r>
      <w:r w:rsidR="00357303">
        <w:t xml:space="preserve"> via the Resource status page</w:t>
      </w:r>
      <w:r w:rsidR="009C6042">
        <w:t xml:space="preserve"> on a daily basis March 15</w:t>
      </w:r>
      <w:r w:rsidR="009C6042" w:rsidRPr="00DF011F">
        <w:rPr>
          <w:vertAlign w:val="superscript"/>
        </w:rPr>
        <w:t>th</w:t>
      </w:r>
      <w:r w:rsidR="009C6042">
        <w:t xml:space="preserve"> through October 31</w:t>
      </w:r>
      <w:r w:rsidR="009C6042" w:rsidRPr="00DF011F">
        <w:rPr>
          <w:vertAlign w:val="superscript"/>
        </w:rPr>
        <w:t>st</w:t>
      </w:r>
      <w:r w:rsidR="009C6042">
        <w:t xml:space="preserve">.  </w:t>
      </w:r>
      <w:r>
        <w:t>Times of severity or inclement weather may alter these dates on way or another.  Availability of Type 3 and Type 4 IC’s shall be identified at this time.</w:t>
      </w:r>
    </w:p>
    <w:p w:rsidR="00141BEF" w:rsidRPr="00141BEF" w:rsidRDefault="00141BEF" w:rsidP="00141BEF">
      <w:pPr>
        <w:rPr>
          <w:sz w:val="16"/>
          <w:szCs w:val="16"/>
        </w:rPr>
      </w:pPr>
    </w:p>
    <w:p w:rsidR="00EB5CAC" w:rsidRDefault="00DF011F" w:rsidP="00EB5CAC">
      <w:pPr>
        <w:numPr>
          <w:ilvl w:val="0"/>
          <w:numId w:val="6"/>
        </w:numPr>
      </w:pPr>
      <w:r>
        <w:t xml:space="preserve">GPC </w:t>
      </w:r>
      <w:r w:rsidR="00141BEF">
        <w:t>assign</w:t>
      </w:r>
      <w:r>
        <w:t>s</w:t>
      </w:r>
      <w:r w:rsidR="00141BEF">
        <w:t xml:space="preserve"> Command Frequencies</w:t>
      </w:r>
      <w:r>
        <w:t xml:space="preserve"> during the initial call out per runcards, if assigned frequencies don’t work GPC will work with the Incident Commander to </w:t>
      </w:r>
      <w:bookmarkStart w:id="0" w:name="_GoBack"/>
      <w:bookmarkEnd w:id="0"/>
      <w:r>
        <w:t>determine positive communications with the incident.</w:t>
      </w:r>
    </w:p>
    <w:p w:rsidR="00EB5CAC" w:rsidRDefault="00EB5CAC" w:rsidP="00EB5CAC">
      <w:pPr>
        <w:numPr>
          <w:ilvl w:val="0"/>
          <w:numId w:val="6"/>
        </w:numPr>
      </w:pPr>
      <w:r>
        <w:t>All participating agencies/units will</w:t>
      </w:r>
      <w:r w:rsidR="00E14F69">
        <w:t xml:space="preserve"> use the Great Plains Incident O</w:t>
      </w:r>
      <w:r>
        <w:t>rganizer for continuity in reporting size up information and spot weather requests.</w:t>
      </w:r>
    </w:p>
    <w:p w:rsidR="00141BEF" w:rsidRPr="00141BEF" w:rsidRDefault="00141BEF" w:rsidP="00141BEF">
      <w:pPr>
        <w:rPr>
          <w:sz w:val="16"/>
          <w:szCs w:val="16"/>
        </w:rPr>
      </w:pPr>
    </w:p>
    <w:p w:rsidR="00141BEF" w:rsidRDefault="00141BEF" w:rsidP="00141BEF">
      <w:pPr>
        <w:numPr>
          <w:ilvl w:val="0"/>
          <w:numId w:val="6"/>
        </w:numPr>
      </w:pPr>
      <w:r>
        <w:lastRenderedPageBreak/>
        <w:t>The Initial Attack Size-Up documentation is the responsibility of the Initial Attack Incident Commander and will be made available to the jurisdictional agency for reporting purposes.</w:t>
      </w:r>
    </w:p>
    <w:p w:rsidR="00BE14BA" w:rsidRDefault="00BE14BA" w:rsidP="00BE14BA">
      <w:pPr>
        <w:pStyle w:val="ListParagraph"/>
      </w:pPr>
    </w:p>
    <w:p w:rsidR="00BE14BA" w:rsidRDefault="00BE14BA" w:rsidP="00141BEF">
      <w:pPr>
        <w:numPr>
          <w:ilvl w:val="0"/>
          <w:numId w:val="6"/>
        </w:numPr>
      </w:pPr>
      <w:r>
        <w:t xml:space="preserve">It will be the responsibility of the Initial Attack IC, when the </w:t>
      </w:r>
      <w:r w:rsidR="00A86D67">
        <w:t>opportunity</w:t>
      </w:r>
      <w:r>
        <w:t xml:space="preserve"> presents itself,  to notify dispatch in determining priorities such as:</w:t>
      </w:r>
    </w:p>
    <w:p w:rsidR="00BE14BA" w:rsidRDefault="00BE14BA" w:rsidP="00BE14BA">
      <w:pPr>
        <w:numPr>
          <w:ilvl w:val="1"/>
          <w:numId w:val="6"/>
        </w:numPr>
      </w:pPr>
      <w:r>
        <w:t>Threats to human life and property</w:t>
      </w:r>
    </w:p>
    <w:p w:rsidR="00BE14BA" w:rsidRDefault="00BE14BA" w:rsidP="00BE14BA">
      <w:pPr>
        <w:numPr>
          <w:ilvl w:val="1"/>
          <w:numId w:val="6"/>
        </w:numPr>
      </w:pPr>
      <w:r>
        <w:t>Other safety hazards/issues</w:t>
      </w:r>
    </w:p>
    <w:p w:rsidR="00BE14BA" w:rsidRDefault="00BE14BA" w:rsidP="00BE14BA">
      <w:pPr>
        <w:numPr>
          <w:ilvl w:val="1"/>
          <w:numId w:val="6"/>
        </w:numPr>
      </w:pPr>
      <w:r>
        <w:t>Heritage Resources/Critical Habitats</w:t>
      </w:r>
    </w:p>
    <w:p w:rsidR="00BE14BA" w:rsidRDefault="00BE14BA" w:rsidP="00BE14BA">
      <w:pPr>
        <w:numPr>
          <w:ilvl w:val="1"/>
          <w:numId w:val="6"/>
        </w:numPr>
      </w:pPr>
      <w:r>
        <w:t>Location of Timber Management/Contractual Activities</w:t>
      </w:r>
    </w:p>
    <w:p w:rsidR="00BE14BA" w:rsidRDefault="00BE14BA" w:rsidP="00BE14BA">
      <w:pPr>
        <w:numPr>
          <w:ilvl w:val="1"/>
          <w:numId w:val="6"/>
        </w:numPr>
      </w:pPr>
      <w:r>
        <w:t>Smoke impacts</w:t>
      </w:r>
    </w:p>
    <w:p w:rsidR="00BE14BA" w:rsidRDefault="00BE14BA" w:rsidP="00BE14BA">
      <w:pPr>
        <w:numPr>
          <w:ilvl w:val="1"/>
          <w:numId w:val="6"/>
        </w:numPr>
      </w:pPr>
      <w:r>
        <w:t>Political Considerations</w:t>
      </w:r>
    </w:p>
    <w:p w:rsidR="00BE14BA" w:rsidRDefault="00BE14BA" w:rsidP="00BE14BA">
      <w:pPr>
        <w:numPr>
          <w:ilvl w:val="1"/>
          <w:numId w:val="6"/>
        </w:numPr>
      </w:pPr>
      <w:r>
        <w:t>Wilderness</w:t>
      </w:r>
    </w:p>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p w:rsidR="00EB5CAC" w:rsidRDefault="00EB5CAC" w:rsidP="00EB5CAC"/>
    <w:sectPr w:rsidR="00EB5CAC" w:rsidSect="00000A2F">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FF" w:rsidRDefault="00EC61FF">
      <w:r>
        <w:separator/>
      </w:r>
    </w:p>
  </w:endnote>
  <w:endnote w:type="continuationSeparator" w:id="0">
    <w:p w:rsidR="00EC61FF" w:rsidRDefault="00EC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AC" w:rsidRDefault="00564FBD" w:rsidP="00EB5CAC">
    <w:pPr>
      <w:pStyle w:val="Footer"/>
      <w:framePr w:wrap="around" w:vAnchor="text" w:hAnchor="margin" w:xAlign="center" w:y="1"/>
      <w:rPr>
        <w:rStyle w:val="PageNumber"/>
      </w:rPr>
    </w:pPr>
    <w:r>
      <w:rPr>
        <w:rStyle w:val="PageNumber"/>
      </w:rPr>
      <w:fldChar w:fldCharType="begin"/>
    </w:r>
    <w:r w:rsidR="00EB5CAC">
      <w:rPr>
        <w:rStyle w:val="PageNumber"/>
      </w:rPr>
      <w:instrText xml:space="preserve">PAGE  </w:instrText>
    </w:r>
    <w:r>
      <w:rPr>
        <w:rStyle w:val="PageNumber"/>
      </w:rPr>
      <w:fldChar w:fldCharType="end"/>
    </w:r>
  </w:p>
  <w:p w:rsidR="00EB5CAC" w:rsidRDefault="00EB5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CAC" w:rsidRDefault="00564FBD" w:rsidP="00EB5CAC">
    <w:pPr>
      <w:pStyle w:val="Footer"/>
      <w:framePr w:wrap="around" w:vAnchor="text" w:hAnchor="margin" w:xAlign="center" w:y="1"/>
      <w:rPr>
        <w:rStyle w:val="PageNumber"/>
      </w:rPr>
    </w:pPr>
    <w:r>
      <w:rPr>
        <w:rStyle w:val="PageNumber"/>
      </w:rPr>
      <w:fldChar w:fldCharType="begin"/>
    </w:r>
    <w:r w:rsidR="00EB5CAC">
      <w:rPr>
        <w:rStyle w:val="PageNumber"/>
      </w:rPr>
      <w:instrText xml:space="preserve">PAGE  </w:instrText>
    </w:r>
    <w:r>
      <w:rPr>
        <w:rStyle w:val="PageNumber"/>
      </w:rPr>
      <w:fldChar w:fldCharType="separate"/>
    </w:r>
    <w:r w:rsidR="00FF6397">
      <w:rPr>
        <w:rStyle w:val="PageNumber"/>
        <w:noProof/>
      </w:rPr>
      <w:t>2</w:t>
    </w:r>
    <w:r>
      <w:rPr>
        <w:rStyle w:val="PageNumber"/>
      </w:rPr>
      <w:fldChar w:fldCharType="end"/>
    </w:r>
  </w:p>
  <w:p w:rsidR="00EB5CAC" w:rsidRDefault="00FF6397" w:rsidP="00E14F69">
    <w:pPr>
      <w:pStyle w:val="Footer"/>
      <w:jc w:val="right"/>
    </w:pPr>
    <w:r>
      <w:tab/>
      <w:t>Revised February 21,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FF" w:rsidRDefault="00EC61FF">
      <w:r>
        <w:separator/>
      </w:r>
    </w:p>
  </w:footnote>
  <w:footnote w:type="continuationSeparator" w:id="0">
    <w:p w:rsidR="00EC61FF" w:rsidRDefault="00EC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5A8"/>
    <w:multiLevelType w:val="hybridMultilevel"/>
    <w:tmpl w:val="0A5E2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672AE"/>
    <w:multiLevelType w:val="hybridMultilevel"/>
    <w:tmpl w:val="A9E2C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0B4DED"/>
    <w:multiLevelType w:val="hybridMultilevel"/>
    <w:tmpl w:val="9E746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2624B4"/>
    <w:multiLevelType w:val="hybridMultilevel"/>
    <w:tmpl w:val="906850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E1D42B0"/>
    <w:multiLevelType w:val="hybridMultilevel"/>
    <w:tmpl w:val="5A80438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597C3CFF"/>
    <w:multiLevelType w:val="hybridMultilevel"/>
    <w:tmpl w:val="6EECD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69DC"/>
    <w:rsid w:val="00000A2F"/>
    <w:rsid w:val="000244E0"/>
    <w:rsid w:val="00034B8D"/>
    <w:rsid w:val="0008102D"/>
    <w:rsid w:val="000B3791"/>
    <w:rsid w:val="00141BEF"/>
    <w:rsid w:val="001E74D4"/>
    <w:rsid w:val="002261B5"/>
    <w:rsid w:val="002915ED"/>
    <w:rsid w:val="00297998"/>
    <w:rsid w:val="00357303"/>
    <w:rsid w:val="003B75DC"/>
    <w:rsid w:val="003E185E"/>
    <w:rsid w:val="00564FBD"/>
    <w:rsid w:val="006F69DC"/>
    <w:rsid w:val="008B789D"/>
    <w:rsid w:val="008C11BF"/>
    <w:rsid w:val="009909FF"/>
    <w:rsid w:val="009C6042"/>
    <w:rsid w:val="009E6C5A"/>
    <w:rsid w:val="00A86D67"/>
    <w:rsid w:val="00BB5F98"/>
    <w:rsid w:val="00BE14BA"/>
    <w:rsid w:val="00CC7D2A"/>
    <w:rsid w:val="00CE2107"/>
    <w:rsid w:val="00D14F1A"/>
    <w:rsid w:val="00D54C31"/>
    <w:rsid w:val="00DF011F"/>
    <w:rsid w:val="00E14F69"/>
    <w:rsid w:val="00E26921"/>
    <w:rsid w:val="00EB5CAC"/>
    <w:rsid w:val="00EC61FF"/>
    <w:rsid w:val="00EF7315"/>
    <w:rsid w:val="00F51D2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02DC0-D9C2-4658-B2FF-36004E0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0A2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pPr>
    <w:rPr>
      <w:rFonts w:ascii="Arial" w:hAnsi="Arial" w:cs="Arial"/>
      <w:noProof/>
      <w:color w:val="000000"/>
    </w:rPr>
  </w:style>
  <w:style w:type="paragraph" w:styleId="BodyText2">
    <w:name w:val="Body Text 2"/>
    <w:basedOn w:val="Normal"/>
    <w:rsid w:val="00000A2F"/>
    <w:pPr>
      <w:ind w:right="720"/>
    </w:pPr>
    <w:rPr>
      <w:rFonts w:ascii="Arial" w:hAnsi="Arial" w:cs="Arial"/>
      <w:sz w:val="20"/>
      <w:szCs w:val="20"/>
    </w:rPr>
  </w:style>
  <w:style w:type="paragraph" w:styleId="BlockText">
    <w:name w:val="Block Text"/>
    <w:basedOn w:val="Normal"/>
    <w:rsid w:val="00000A2F"/>
    <w:pPr>
      <w:ind w:left="360" w:right="720"/>
    </w:pPr>
    <w:rPr>
      <w:rFonts w:ascii="Arial" w:hAnsi="Arial" w:cs="Arial"/>
      <w:sz w:val="20"/>
      <w:szCs w:val="20"/>
    </w:rPr>
  </w:style>
  <w:style w:type="paragraph" w:styleId="BalloonText">
    <w:name w:val="Balloon Text"/>
    <w:basedOn w:val="Normal"/>
    <w:semiHidden/>
    <w:rsid w:val="00000A2F"/>
    <w:rPr>
      <w:rFonts w:ascii="Tahoma" w:hAnsi="Tahoma" w:cs="Tahoma"/>
      <w:sz w:val="16"/>
      <w:szCs w:val="16"/>
    </w:rPr>
  </w:style>
  <w:style w:type="paragraph" w:styleId="Footer">
    <w:name w:val="footer"/>
    <w:basedOn w:val="Normal"/>
    <w:rsid w:val="00EB5CAC"/>
    <w:pPr>
      <w:tabs>
        <w:tab w:val="center" w:pos="4320"/>
        <w:tab w:val="right" w:pos="8640"/>
      </w:tabs>
    </w:pPr>
  </w:style>
  <w:style w:type="character" w:styleId="PageNumber">
    <w:name w:val="page number"/>
    <w:basedOn w:val="DefaultParagraphFont"/>
    <w:rsid w:val="00EB5CAC"/>
  </w:style>
  <w:style w:type="paragraph" w:styleId="Header">
    <w:name w:val="header"/>
    <w:basedOn w:val="Normal"/>
    <w:link w:val="HeaderChar"/>
    <w:uiPriority w:val="99"/>
    <w:unhideWhenUsed/>
    <w:rsid w:val="00E14F69"/>
    <w:pPr>
      <w:tabs>
        <w:tab w:val="center" w:pos="4680"/>
        <w:tab w:val="right" w:pos="9360"/>
      </w:tabs>
    </w:pPr>
  </w:style>
  <w:style w:type="character" w:customStyle="1" w:styleId="HeaderChar">
    <w:name w:val="Header Char"/>
    <w:basedOn w:val="DefaultParagraphFont"/>
    <w:link w:val="Header"/>
    <w:uiPriority w:val="99"/>
    <w:rsid w:val="00E14F69"/>
    <w:rPr>
      <w:sz w:val="24"/>
      <w:szCs w:val="24"/>
    </w:rPr>
  </w:style>
  <w:style w:type="paragraph" w:styleId="ListParagraph">
    <w:name w:val="List Paragraph"/>
    <w:basedOn w:val="Normal"/>
    <w:uiPriority w:val="34"/>
    <w:qFormat/>
    <w:rsid w:val="00BE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sfd.wyo.gov/"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ildlandfire.sd.gov/" TargetMode="External"/><Relationship Id="rId7" Type="http://schemas.openxmlformats.org/officeDocument/2006/relationships/hyperlink" Target="http://www.nps.gov/" TargetMode="External"/><Relationship Id="rId12" Type="http://schemas.openxmlformats.org/officeDocument/2006/relationships/image" Target="media/image3.png"/><Relationship Id="rId17" Type="http://schemas.openxmlformats.org/officeDocument/2006/relationships/hyperlink" Target="https://www.bia.gov/services/wildland-fi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ws.gov/mountain-prairie/refuges/fireManagement.php"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nema.nebraska.gov/operations/fire-drought" TargetMode="External"/><Relationship Id="rId23" Type="http://schemas.openxmlformats.org/officeDocument/2006/relationships/hyperlink" Target="https://nfs.unl.ed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s.fed.us/fire" TargetMode="External"/><Relationship Id="rId4" Type="http://schemas.openxmlformats.org/officeDocument/2006/relationships/webSettings" Target="webSettings.xml"/><Relationship Id="rId9" Type="http://schemas.openxmlformats.org/officeDocument/2006/relationships/hyperlink" Target="https://www.blm.gov/"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FSDefaultUser</dc:creator>
  <cp:keywords/>
  <dc:description/>
  <cp:lastModifiedBy>Schaefbauer, August - FS</cp:lastModifiedBy>
  <cp:revision>16</cp:revision>
  <cp:lastPrinted>2003-05-23T17:24:00Z</cp:lastPrinted>
  <dcterms:created xsi:type="dcterms:W3CDTF">2011-01-21T15:42:00Z</dcterms:created>
  <dcterms:modified xsi:type="dcterms:W3CDTF">2019-02-21T18:29:00Z</dcterms:modified>
</cp:coreProperties>
</file>