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53"/>
        <w:ind w:left="790" w:right="143" w:firstLine="0"/>
        <w:jc w:val="left"/>
        <w:rPr>
          <w:b/>
          <w:sz w:val="92"/>
        </w:rPr>
      </w:pPr>
      <w:r>
        <w:rPr/>
        <w:pict>
          <v:group style="position:absolute;margin-left:0pt;margin-top:0pt;width:611.5pt;height:792.75pt;mso-position-horizontal-relative:page;mso-position-vertical-relative:page;z-index:-240256" coordorigin="0,0" coordsize="12230,15855">
            <v:rect style="position:absolute;left:830;top:0;width:11391;height:15840" filled="true" fillcolor="#2c3d50" stroked="false">
              <v:fill type="solid"/>
            </v:rect>
            <v:line style="position:absolute" from="12220,15840" to="12220,15840" stroked="true" strokeweight="1.5pt" strokecolor="#000000">
              <v:stroke dashstyle="solid"/>
            </v:line>
            <v:line style="position:absolute" from="1117,13500" to="12230,13500" stroked="true" strokeweight="3.55pt" strokecolor="#a7a8a7">
              <v:stroke dashstyle="solid"/>
            </v:line>
            <v:shape style="position:absolute;left:5112;top:13877;width:1490;height:1483" type="#_x0000_t75" stroked="false">
              <v:imagedata r:id="rId5" o:title=""/>
            </v:shape>
            <v:shape style="position:absolute;left:8207;top:13859;width:1490;height:1483" type="#_x0000_t75" stroked="false">
              <v:imagedata r:id="rId6" o:title=""/>
            </v:shape>
            <v:rect style="position:absolute;left:0;top:0;width:830;height:15840" filled="true" fillcolor="#202020" stroked="false">
              <v:fill type="solid"/>
            </v:rect>
            <v:shape style="position:absolute;left:3451;top:13878;width:1427;height:1427" type="#_x0000_t75" stroked="false">
              <v:imagedata r:id="rId7" o:title=""/>
            </v:shape>
            <v:shape style="position:absolute;left:6775;top:13820;width:1210;height:1485" type="#_x0000_t75" stroked="false">
              <v:imagedata r:id="rId8" o:title=""/>
            </v:shape>
            <v:shape style="position:absolute;left:1115;top:4257;width:10448;height:5760" type="#_x0000_t75" stroked="false">
              <v:imagedata r:id="rId9" o:title=""/>
            </v:shape>
            <w10:wrap type="none"/>
          </v:group>
        </w:pict>
      </w:r>
      <w:r>
        <w:rPr>
          <w:b/>
          <w:color w:val="F1F1F1"/>
          <w:sz w:val="92"/>
        </w:rPr>
        <w:t>Northwest Fire Weather Operating Plan</w:t>
      </w:r>
    </w:p>
    <w:p>
      <w:pPr>
        <w:pStyle w:val="BodyText"/>
        <w:rPr>
          <w:b/>
          <w:sz w:val="102"/>
        </w:rPr>
      </w:pPr>
    </w:p>
    <w:p>
      <w:pPr>
        <w:pStyle w:val="BodyText"/>
        <w:rPr>
          <w:b/>
          <w:sz w:val="102"/>
        </w:rPr>
      </w:pPr>
    </w:p>
    <w:p>
      <w:pPr>
        <w:pStyle w:val="BodyText"/>
        <w:rPr>
          <w:b/>
          <w:sz w:val="102"/>
        </w:rPr>
      </w:pPr>
    </w:p>
    <w:p>
      <w:pPr>
        <w:pStyle w:val="BodyText"/>
        <w:rPr>
          <w:b/>
          <w:sz w:val="102"/>
        </w:rPr>
      </w:pPr>
    </w:p>
    <w:p>
      <w:pPr>
        <w:pStyle w:val="BodyText"/>
        <w:rPr>
          <w:b/>
          <w:sz w:val="102"/>
        </w:rPr>
      </w:pPr>
    </w:p>
    <w:p>
      <w:pPr>
        <w:pStyle w:val="BodyText"/>
        <w:rPr>
          <w:b/>
          <w:sz w:val="102"/>
        </w:rPr>
      </w:pPr>
    </w:p>
    <w:p>
      <w:pPr>
        <w:pStyle w:val="BodyText"/>
        <w:spacing w:before="9"/>
        <w:rPr>
          <w:b/>
          <w:sz w:val="114"/>
        </w:rPr>
      </w:pPr>
    </w:p>
    <w:p>
      <w:pPr>
        <w:spacing w:line="827" w:lineRule="exact" w:before="1"/>
        <w:ind w:left="783" w:right="0" w:firstLine="0"/>
        <w:jc w:val="left"/>
        <w:rPr>
          <w:b/>
          <w:sz w:val="72"/>
        </w:rPr>
      </w:pPr>
      <w:r>
        <w:rPr>
          <w:b/>
          <w:color w:val="F1F1F1"/>
          <w:sz w:val="72"/>
        </w:rPr>
        <w:t>Oregon</w:t>
      </w:r>
    </w:p>
    <w:p>
      <w:pPr>
        <w:tabs>
          <w:tab w:pos="9211" w:val="left" w:leader="none"/>
        </w:tabs>
        <w:spacing w:line="827" w:lineRule="exact" w:before="0"/>
        <w:ind w:left="783" w:right="0" w:firstLine="0"/>
        <w:jc w:val="left"/>
        <w:rPr>
          <w:b/>
          <w:sz w:val="44"/>
        </w:rPr>
      </w:pPr>
      <w:r>
        <w:rPr>
          <w:b/>
          <w:color w:val="F1F1F1"/>
          <w:sz w:val="72"/>
        </w:rPr>
        <w:t>Washington</w:t>
        <w:tab/>
      </w:r>
      <w:bookmarkStart w:name="May 2018" w:id="1"/>
      <w:bookmarkEnd w:id="1"/>
      <w:r>
        <w:rPr>
          <w:b/>
          <w:color w:val="F1F1F1"/>
          <w:sz w:val="72"/>
        </w:rPr>
      </w:r>
      <w:r>
        <w:rPr>
          <w:b/>
          <w:color w:val="F1F1F1"/>
          <w:position w:val="15"/>
          <w:sz w:val="44"/>
        </w:rPr>
        <w:t>May</w:t>
      </w:r>
      <w:r>
        <w:rPr>
          <w:b/>
          <w:color w:val="F1F1F1"/>
          <w:spacing w:val="-4"/>
          <w:position w:val="15"/>
          <w:sz w:val="44"/>
        </w:rPr>
        <w:t> </w:t>
      </w:r>
      <w:r>
        <w:rPr>
          <w:b/>
          <w:color w:val="F1F1F1"/>
          <w:position w:val="15"/>
          <w:sz w:val="44"/>
        </w:rPr>
        <w:t>2018</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9"/>
        </w:rPr>
      </w:pPr>
    </w:p>
    <w:p>
      <w:pPr>
        <w:pStyle w:val="BodyText"/>
        <w:spacing w:before="52"/>
        <w:ind w:left="276"/>
        <w:jc w:val="center"/>
        <w:rPr>
          <w:rFonts w:ascii="Calibri"/>
        </w:rPr>
      </w:pPr>
      <w:r>
        <w:rPr>
          <w:rFonts w:ascii="Calibri"/>
        </w:rPr>
        <w:t>1</w:t>
      </w:r>
    </w:p>
    <w:p>
      <w:pPr>
        <w:spacing w:after="0"/>
        <w:jc w:val="center"/>
        <w:rPr>
          <w:rFonts w:ascii="Calibri"/>
        </w:rPr>
        <w:sectPr>
          <w:type w:val="continuous"/>
          <w:pgSz w:w="12240" w:h="15840"/>
          <w:pgMar w:top="1040" w:bottom="280" w:left="340" w:right="62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25"/>
        </w:rPr>
      </w:pPr>
    </w:p>
    <w:p>
      <w:pPr>
        <w:pStyle w:val="BodyText"/>
        <w:spacing w:before="92"/>
        <w:ind w:left="285"/>
        <w:jc w:val="center"/>
      </w:pPr>
      <w:r>
        <w:rPr/>
        <w:t>This page intentionally left blank</w:t>
      </w:r>
    </w:p>
    <w:p>
      <w:pPr>
        <w:spacing w:after="0"/>
        <w:jc w:val="center"/>
        <w:sectPr>
          <w:footerReference w:type="default" r:id="rId10"/>
          <w:pgSz w:w="12240" w:h="15840"/>
          <w:pgMar w:footer="968" w:header="0" w:top="1500" w:bottom="1160" w:left="340" w:right="620"/>
          <w:pgNumType w:start="2"/>
        </w:sectPr>
      </w:pPr>
    </w:p>
    <w:p>
      <w:pPr>
        <w:pStyle w:val="BodyText"/>
        <w:spacing w:before="9"/>
        <w:rPr>
          <w:rFonts w:ascii="Times New Roman"/>
          <w:sz w:val="14"/>
        </w:rPr>
      </w:pPr>
    </w:p>
    <w:p>
      <w:pPr>
        <w:pStyle w:val="BodyText"/>
        <w:ind w:left="1496"/>
        <w:rPr>
          <w:rFonts w:ascii="Times New Roman"/>
          <w:sz w:val="20"/>
        </w:rPr>
      </w:pPr>
      <w:bookmarkStart w:name="_bookmark0" w:id="2"/>
      <w:bookmarkEnd w:id="2"/>
      <w:r>
        <w:rPr/>
      </w:r>
      <w:r>
        <w:rPr>
          <w:rFonts w:ascii="Times New Roman"/>
          <w:sz w:val="20"/>
        </w:rPr>
        <w:drawing>
          <wp:inline distT="0" distB="0" distL="0" distR="0">
            <wp:extent cx="5711935" cy="7811261"/>
            <wp:effectExtent l="0" t="0" r="0" b="0"/>
            <wp:docPr id="1" name="image6.jpeg" descr=""/>
            <wp:cNvGraphicFramePr>
              <a:graphicFrameLocks noChangeAspect="1"/>
            </wp:cNvGraphicFramePr>
            <a:graphic>
              <a:graphicData uri="http://schemas.openxmlformats.org/drawingml/2006/picture">
                <pic:pic>
                  <pic:nvPicPr>
                    <pic:cNvPr id="2" name="image6.jpeg"/>
                    <pic:cNvPicPr/>
                  </pic:nvPicPr>
                  <pic:blipFill>
                    <a:blip r:embed="rId11" cstate="print"/>
                    <a:stretch>
                      <a:fillRect/>
                    </a:stretch>
                  </pic:blipFill>
                  <pic:spPr>
                    <a:xfrm>
                      <a:off x="0" y="0"/>
                      <a:ext cx="5711935" cy="7811261"/>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968" w:top="1500" w:bottom="1160" w:left="340" w:right="620"/>
        </w:sectPr>
      </w:pPr>
    </w:p>
    <w:p>
      <w:pPr>
        <w:pStyle w:val="BodyText"/>
        <w:spacing w:before="4"/>
        <w:rPr>
          <w:rFonts w:ascii="Times New Roman"/>
          <w:sz w:val="17"/>
        </w:rPr>
      </w:pPr>
    </w:p>
    <w:p>
      <w:pPr>
        <w:spacing w:after="0"/>
        <w:rPr>
          <w:rFonts w:ascii="Times New Roman"/>
          <w:sz w:val="17"/>
        </w:rPr>
        <w:sectPr>
          <w:pgSz w:w="12240" w:h="15840"/>
          <w:pgMar w:header="0" w:footer="968" w:top="1500" w:bottom="1160" w:left="340" w:right="620"/>
        </w:sectPr>
      </w:pPr>
    </w:p>
    <w:p>
      <w:pPr>
        <w:pStyle w:val="Heading1"/>
      </w:pPr>
      <w:bookmarkStart w:name="Table of Contents" w:id="3"/>
      <w:bookmarkEnd w:id="3"/>
      <w:r>
        <w:rPr>
          <w:b w:val="0"/>
        </w:rPr>
      </w:r>
      <w:r>
        <w:rPr>
          <w:color w:val="2C3D50"/>
        </w:rPr>
        <w:t>Table of Contents</w:t>
      </w:r>
    </w:p>
    <w:sdt>
      <w:sdtPr>
        <w:docPartObj>
          <w:docPartGallery w:val="Table of Contents"/>
          <w:docPartUnique/>
        </w:docPartObj>
      </w:sdtPr>
      <w:sdtEndPr/>
      <w:sdtContent>
        <w:p>
          <w:pPr>
            <w:pStyle w:val="TOC1"/>
            <w:tabs>
              <w:tab w:pos="10461" w:val="right" w:leader="dot"/>
            </w:tabs>
            <w:spacing w:before="412"/>
            <w:rPr>
              <w:u w:val="none"/>
            </w:rPr>
          </w:pPr>
          <w:hyperlink w:history="true" w:anchor="_bookmark0">
            <w:r>
              <w:rPr>
                <w:color w:val="0462C1"/>
                <w:u w:val="thick" w:color="0462C1"/>
              </w:rPr>
              <w:t>Agency Signatures/Effective Dates of</w:t>
            </w:r>
            <w:r>
              <w:rPr>
                <w:color w:val="0462C1"/>
                <w:spacing w:val="-19"/>
                <w:u w:val="thick" w:color="0462C1"/>
              </w:rPr>
              <w:t> </w:t>
            </w:r>
            <w:r>
              <w:rPr>
                <w:color w:val="0462C1"/>
                <w:u w:val="thick" w:color="0462C1"/>
              </w:rPr>
              <w:t>the</w:t>
            </w:r>
            <w:r>
              <w:rPr>
                <w:color w:val="0462C1"/>
                <w:spacing w:val="-5"/>
                <w:u w:val="thick" w:color="0462C1"/>
              </w:rPr>
              <w:t> </w:t>
            </w:r>
            <w:r>
              <w:rPr>
                <w:color w:val="0462C1"/>
                <w:u w:val="thick" w:color="0462C1"/>
              </w:rPr>
              <w:t>AOP</w:t>
            </w:r>
          </w:hyperlink>
          <w:r>
            <w:rPr>
              <w:u w:val="none"/>
            </w:rPr>
            <w:tab/>
            <w:t>3</w:t>
          </w:r>
        </w:p>
        <w:p>
          <w:pPr>
            <w:pStyle w:val="TOC1"/>
            <w:tabs>
              <w:tab w:pos="10461" w:val="right" w:leader="dot"/>
            </w:tabs>
            <w:rPr>
              <w:u w:val="none"/>
            </w:rPr>
          </w:pPr>
          <w:hyperlink w:history="true" w:anchor="_bookmark2">
            <w:r>
              <w:rPr>
                <w:color w:val="0462C1"/>
                <w:u w:val="thick" w:color="0462C1"/>
              </w:rPr>
              <w:t>Chapter 1</w:t>
            </w:r>
            <w:r>
              <w:rPr>
                <w:color w:val="0462C1"/>
                <w:spacing w:val="-7"/>
                <w:u w:val="thick" w:color="0462C1"/>
              </w:rPr>
              <w:t> </w:t>
            </w:r>
            <w:r>
              <w:rPr>
                <w:color w:val="0462C1"/>
                <w:u w:val="thick" w:color="0462C1"/>
              </w:rPr>
              <w:t>–</w:t>
            </w:r>
            <w:r>
              <w:rPr>
                <w:color w:val="0462C1"/>
                <w:spacing w:val="1"/>
                <w:u w:val="thick" w:color="0462C1"/>
              </w:rPr>
              <w:t> </w:t>
            </w:r>
            <w:r>
              <w:rPr>
                <w:color w:val="0462C1"/>
                <w:u w:val="thick" w:color="0462C1"/>
              </w:rPr>
              <w:t>Administrative</w:t>
            </w:r>
          </w:hyperlink>
          <w:r>
            <w:rPr>
              <w:u w:val="none"/>
            </w:rPr>
            <w:tab/>
            <w:t>5</w:t>
          </w:r>
        </w:p>
        <w:p>
          <w:pPr>
            <w:pStyle w:val="TOC2"/>
            <w:tabs>
              <w:tab w:pos="10458" w:val="right" w:leader="dot"/>
            </w:tabs>
            <w:spacing w:before="276"/>
          </w:pPr>
          <w:hyperlink w:history="true" w:anchor="_bookmark3">
            <w:r>
              <w:rPr>
                <w:color w:val="0462C1"/>
                <w:u w:val="single" w:color="0462C1"/>
              </w:rPr>
              <w:t>Introduction</w:t>
            </w:r>
          </w:hyperlink>
          <w:r>
            <w:rPr/>
            <w:tab/>
            <w:t>5</w:t>
          </w:r>
        </w:p>
        <w:p>
          <w:pPr>
            <w:pStyle w:val="TOC2"/>
            <w:tabs>
              <w:tab w:pos="10458" w:val="right" w:leader="dot"/>
            </w:tabs>
            <w:spacing w:before="135"/>
          </w:pPr>
          <w:hyperlink w:history="true" w:anchor="_bookmark4">
            <w:r>
              <w:rPr>
                <w:color w:val="0462C1"/>
                <w:u w:val="single" w:color="0462C1"/>
              </w:rPr>
              <w:t>NWS services</w:t>
            </w:r>
            <w:r>
              <w:rPr>
                <w:color w:val="0462C1"/>
                <w:spacing w:val="-20"/>
                <w:u w:val="single" w:color="0462C1"/>
              </w:rPr>
              <w:t> </w:t>
            </w:r>
            <w:r>
              <w:rPr>
                <w:color w:val="0462C1"/>
                <w:u w:val="single" w:color="0462C1"/>
              </w:rPr>
              <w:t>and</w:t>
            </w:r>
            <w:r>
              <w:rPr>
                <w:color w:val="0462C1"/>
                <w:spacing w:val="-7"/>
                <w:u w:val="single" w:color="0462C1"/>
              </w:rPr>
              <w:t> </w:t>
            </w:r>
            <w:r>
              <w:rPr>
                <w:color w:val="0462C1"/>
                <w:u w:val="single" w:color="0462C1"/>
              </w:rPr>
              <w:t>responsibilities</w:t>
            </w:r>
          </w:hyperlink>
          <w:r>
            <w:rPr/>
            <w:tab/>
            <w:t>6</w:t>
          </w:r>
        </w:p>
        <w:p>
          <w:pPr>
            <w:pStyle w:val="TOC2"/>
            <w:tabs>
              <w:tab w:pos="10464" w:val="right" w:leader="dot"/>
            </w:tabs>
            <w:spacing w:before="139"/>
            <w:ind w:left="1364"/>
          </w:pPr>
          <w:hyperlink w:history="true" w:anchor="_bookmark5">
            <w:r>
              <w:rPr>
                <w:color w:val="0462C1"/>
                <w:u w:val="single" w:color="0462C1"/>
              </w:rPr>
              <w:t>Wildland fire agency</w:t>
            </w:r>
            <w:r>
              <w:rPr>
                <w:color w:val="0462C1"/>
                <w:spacing w:val="-5"/>
                <w:u w:val="single" w:color="0462C1"/>
              </w:rPr>
              <w:t> </w:t>
            </w:r>
            <w:r>
              <w:rPr>
                <w:color w:val="0462C1"/>
                <w:u w:val="single" w:color="0462C1"/>
              </w:rPr>
              <w:t>servicesand</w:t>
            </w:r>
            <w:r>
              <w:rPr>
                <w:color w:val="0462C1"/>
                <w:spacing w:val="-9"/>
                <w:u w:val="single" w:color="0462C1"/>
              </w:rPr>
              <w:t> </w:t>
            </w:r>
            <w:r>
              <w:rPr>
                <w:color w:val="0462C1"/>
                <w:u w:val="single" w:color="0462C1"/>
              </w:rPr>
              <w:t>responsibilities</w:t>
            </w:r>
          </w:hyperlink>
          <w:r>
            <w:rPr/>
            <w:tab/>
            <w:t>10</w:t>
          </w:r>
        </w:p>
        <w:p>
          <w:pPr>
            <w:pStyle w:val="TOC2"/>
            <w:tabs>
              <w:tab w:pos="10462" w:val="right" w:leader="dot"/>
            </w:tabs>
            <w:spacing w:before="135"/>
          </w:pPr>
          <w:hyperlink w:history="true" w:anchor="_bookmark6">
            <w:r>
              <w:rPr>
                <w:color w:val="0462C1"/>
                <w:u w:val="single" w:color="0462C1"/>
              </w:rPr>
              <w:t>Joint</w:t>
            </w:r>
            <w:r>
              <w:rPr>
                <w:color w:val="0462C1"/>
                <w:spacing w:val="-3"/>
                <w:u w:val="single" w:color="0462C1"/>
              </w:rPr>
              <w:t> </w:t>
            </w:r>
            <w:r>
              <w:rPr>
                <w:color w:val="0462C1"/>
                <w:u w:val="single" w:color="0462C1"/>
              </w:rPr>
              <w:t>responsibilities</w:t>
            </w:r>
          </w:hyperlink>
          <w:r>
            <w:rPr/>
            <w:tab/>
            <w:t>11</w:t>
          </w:r>
        </w:p>
        <w:p>
          <w:pPr>
            <w:pStyle w:val="TOC1"/>
            <w:tabs>
              <w:tab w:pos="10438" w:val="right" w:leader="dot"/>
            </w:tabs>
            <w:spacing w:before="552"/>
            <w:rPr>
              <w:u w:val="none"/>
            </w:rPr>
          </w:pPr>
          <w:hyperlink w:history="true" w:anchor="_bookmark7">
            <w:r>
              <w:rPr>
                <w:color w:val="0462C1"/>
                <w:u w:val="thick" w:color="0462C1"/>
              </w:rPr>
              <w:t>Chapter 2 –</w:t>
            </w:r>
            <w:r>
              <w:rPr>
                <w:color w:val="0462C1"/>
                <w:spacing w:val="-1"/>
                <w:u w:val="thick" w:color="0462C1"/>
              </w:rPr>
              <w:t> </w:t>
            </w:r>
            <w:r>
              <w:rPr>
                <w:color w:val="0462C1"/>
                <w:u w:val="thick" w:color="0462C1"/>
              </w:rPr>
              <w:t>Operating</w:t>
            </w:r>
            <w:r>
              <w:rPr>
                <w:color w:val="0462C1"/>
                <w:spacing w:val="-1"/>
                <w:u w:val="thick" w:color="0462C1"/>
              </w:rPr>
              <w:t> </w:t>
            </w:r>
            <w:r>
              <w:rPr>
                <w:color w:val="0462C1"/>
                <w:u w:val="thick" w:color="0462C1"/>
              </w:rPr>
              <w:t>Plans</w:t>
            </w:r>
          </w:hyperlink>
          <w:r>
            <w:rPr>
              <w:u w:val="none"/>
            </w:rPr>
            <w:tab/>
            <w:t>13</w:t>
          </w:r>
        </w:p>
        <w:p>
          <w:pPr>
            <w:pStyle w:val="TOC2"/>
            <w:tabs>
              <w:tab w:pos="10464" w:val="right" w:leader="dot"/>
            </w:tabs>
            <w:spacing w:before="276"/>
          </w:pPr>
          <w:hyperlink w:history="true" w:anchor="_bookmark8">
            <w:r>
              <w:rPr>
                <w:color w:val="0462C1"/>
                <w:u w:val="single" w:color="0462C1"/>
              </w:rPr>
              <w:t>NWCC</w:t>
            </w:r>
            <w:r>
              <w:rPr>
                <w:color w:val="0462C1"/>
                <w:spacing w:val="-9"/>
                <w:u w:val="single" w:color="0462C1"/>
              </w:rPr>
              <w:t> </w:t>
            </w:r>
            <w:r>
              <w:rPr>
                <w:color w:val="0462C1"/>
                <w:u w:val="single" w:color="0462C1"/>
              </w:rPr>
              <w:t>Predictive</w:t>
            </w:r>
            <w:r>
              <w:rPr>
                <w:color w:val="0462C1"/>
                <w:spacing w:val="-2"/>
                <w:u w:val="single" w:color="0462C1"/>
              </w:rPr>
              <w:t> </w:t>
            </w:r>
            <w:r>
              <w:rPr>
                <w:color w:val="0462C1"/>
                <w:u w:val="single" w:color="0462C1"/>
              </w:rPr>
              <w:t>Services</w:t>
            </w:r>
          </w:hyperlink>
          <w:r>
            <w:rPr/>
            <w:tab/>
            <w:t>14</w:t>
          </w:r>
        </w:p>
        <w:p>
          <w:pPr>
            <w:pStyle w:val="TOC2"/>
            <w:tabs>
              <w:tab w:pos="10462" w:val="right" w:leader="dot"/>
            </w:tabs>
            <w:spacing w:before="136"/>
          </w:pPr>
          <w:hyperlink w:history="true" w:anchor="_bookmark9">
            <w:r>
              <w:rPr>
                <w:color w:val="0462C1"/>
                <w:u w:val="single" w:color="0462C1"/>
              </w:rPr>
              <w:t>NWS</w:t>
            </w:r>
            <w:r>
              <w:rPr>
                <w:color w:val="0462C1"/>
                <w:spacing w:val="-18"/>
                <w:u w:val="single" w:color="0462C1"/>
              </w:rPr>
              <w:t> </w:t>
            </w:r>
            <w:r>
              <w:rPr>
                <w:color w:val="0462C1"/>
                <w:u w:val="single" w:color="0462C1"/>
              </w:rPr>
              <w:t>Boise</w:t>
            </w:r>
          </w:hyperlink>
          <w:r>
            <w:rPr/>
            <w:tab/>
            <w:t>20</w:t>
          </w:r>
        </w:p>
        <w:p>
          <w:pPr>
            <w:pStyle w:val="TOC2"/>
            <w:tabs>
              <w:tab w:pos="10462" w:val="right" w:leader="dot"/>
            </w:tabs>
          </w:pPr>
          <w:hyperlink w:history="true" w:anchor="_bookmark10">
            <w:r>
              <w:rPr>
                <w:color w:val="0462C1"/>
                <w:u w:val="single" w:color="0462C1"/>
              </w:rPr>
              <w:t>NWS</w:t>
            </w:r>
            <w:r>
              <w:rPr>
                <w:color w:val="0462C1"/>
                <w:spacing w:val="-17"/>
                <w:u w:val="single" w:color="0462C1"/>
              </w:rPr>
              <w:t> </w:t>
            </w:r>
            <w:r>
              <w:rPr>
                <w:color w:val="0462C1"/>
                <w:u w:val="single" w:color="0462C1"/>
              </w:rPr>
              <w:t>Medford</w:t>
            </w:r>
          </w:hyperlink>
          <w:r>
            <w:rPr/>
            <w:tab/>
            <w:t>24</w:t>
          </w:r>
        </w:p>
        <w:p>
          <w:pPr>
            <w:pStyle w:val="TOC2"/>
            <w:tabs>
              <w:tab w:pos="10462" w:val="right" w:leader="dot"/>
            </w:tabs>
            <w:spacing w:before="139"/>
          </w:pPr>
          <w:hyperlink w:history="true" w:anchor="_bookmark11">
            <w:r>
              <w:rPr>
                <w:color w:val="0462C1"/>
                <w:u w:val="single" w:color="0462C1"/>
              </w:rPr>
              <w:t>NWS</w:t>
            </w:r>
            <w:r>
              <w:rPr>
                <w:color w:val="0462C1"/>
                <w:spacing w:val="-19"/>
                <w:u w:val="single" w:color="0462C1"/>
              </w:rPr>
              <w:t> </w:t>
            </w:r>
            <w:r>
              <w:rPr>
                <w:color w:val="0462C1"/>
                <w:u w:val="single" w:color="0462C1"/>
              </w:rPr>
              <w:t>Pendleton</w:t>
            </w:r>
          </w:hyperlink>
          <w:r>
            <w:rPr/>
            <w:tab/>
            <w:t>32</w:t>
          </w:r>
        </w:p>
        <w:p>
          <w:pPr>
            <w:pStyle w:val="TOC2"/>
            <w:tabs>
              <w:tab w:pos="10447" w:val="right" w:leader="dot"/>
            </w:tabs>
          </w:pPr>
          <w:hyperlink w:history="true" w:anchor="_bookmark12">
            <w:r>
              <w:rPr>
                <w:color w:val="0462C1"/>
                <w:u w:val="single" w:color="0462C1"/>
              </w:rPr>
              <w:t>NWS</w:t>
            </w:r>
            <w:r>
              <w:rPr>
                <w:color w:val="0462C1"/>
                <w:spacing w:val="-5"/>
                <w:u w:val="single" w:color="0462C1"/>
              </w:rPr>
              <w:t> </w:t>
            </w:r>
            <w:r>
              <w:rPr>
                <w:color w:val="0462C1"/>
                <w:u w:val="single" w:color="0462C1"/>
              </w:rPr>
              <w:t>Portland</w:t>
            </w:r>
          </w:hyperlink>
          <w:r>
            <w:rPr/>
            <w:tab/>
            <w:t>43</w:t>
          </w:r>
        </w:p>
        <w:p>
          <w:pPr>
            <w:pStyle w:val="TOC2"/>
            <w:tabs>
              <w:tab w:pos="10462" w:val="right" w:leader="dot"/>
            </w:tabs>
          </w:pPr>
          <w:hyperlink w:history="true" w:anchor="_bookmark13">
            <w:r>
              <w:rPr>
                <w:color w:val="0462C1"/>
                <w:u w:val="single" w:color="0462C1"/>
              </w:rPr>
              <w:t>NWS</w:t>
            </w:r>
            <w:r>
              <w:rPr>
                <w:color w:val="0462C1"/>
                <w:spacing w:val="-9"/>
                <w:u w:val="single" w:color="0462C1"/>
              </w:rPr>
              <w:t> </w:t>
            </w:r>
            <w:r>
              <w:rPr>
                <w:color w:val="0462C1"/>
                <w:u w:val="single" w:color="0462C1"/>
              </w:rPr>
              <w:t>Seattle</w:t>
            </w:r>
          </w:hyperlink>
          <w:r>
            <w:rPr/>
            <w:tab/>
            <w:t>56</w:t>
          </w:r>
        </w:p>
        <w:p>
          <w:pPr>
            <w:pStyle w:val="TOC2"/>
            <w:tabs>
              <w:tab w:pos="10462" w:val="right" w:leader="dot"/>
            </w:tabs>
          </w:pPr>
          <w:hyperlink w:history="true" w:anchor="_bookmark17">
            <w:r>
              <w:rPr>
                <w:color w:val="0462C1"/>
                <w:u w:val="single" w:color="0462C1"/>
              </w:rPr>
              <w:t>NWS</w:t>
            </w:r>
            <w:r>
              <w:rPr>
                <w:color w:val="0462C1"/>
                <w:spacing w:val="-19"/>
                <w:u w:val="single" w:color="0462C1"/>
              </w:rPr>
              <w:t> </w:t>
            </w:r>
            <w:r>
              <w:rPr>
                <w:color w:val="0462C1"/>
                <w:u w:val="single" w:color="0462C1"/>
              </w:rPr>
              <w:t>Spokane</w:t>
            </w:r>
          </w:hyperlink>
          <w:r>
            <w:rPr/>
            <w:tab/>
            <w:t>68</w:t>
          </w:r>
        </w:p>
        <w:p>
          <w:pPr>
            <w:pStyle w:val="TOC2"/>
            <w:tabs>
              <w:tab w:pos="10467" w:val="right" w:leader="dot"/>
            </w:tabs>
          </w:pPr>
          <w:hyperlink w:history="true" w:anchor="_bookmark18">
            <w:r>
              <w:rPr>
                <w:color w:val="0462C1"/>
                <w:u w:val="single" w:color="0462C1"/>
              </w:rPr>
              <w:t>Oregon Department of ForestryWeather</w:t>
            </w:r>
            <w:r>
              <w:rPr>
                <w:color w:val="0462C1"/>
                <w:spacing w:val="-13"/>
                <w:u w:val="single" w:color="0462C1"/>
              </w:rPr>
              <w:t> </w:t>
            </w:r>
            <w:r>
              <w:rPr>
                <w:color w:val="0462C1"/>
                <w:u w:val="single" w:color="0462C1"/>
              </w:rPr>
              <w:t>Center</w:t>
            </w:r>
          </w:hyperlink>
          <w:r>
            <w:rPr/>
            <w:tab/>
            <w:t>78</w:t>
          </w:r>
        </w:p>
        <w:p>
          <w:pPr>
            <w:pStyle w:val="TOC2"/>
            <w:tabs>
              <w:tab w:pos="10464" w:val="right" w:leader="dot"/>
            </w:tabs>
            <w:ind w:left="1364"/>
          </w:pPr>
          <w:hyperlink w:history="true" w:anchor="_bookmark19">
            <w:r>
              <w:rPr>
                <w:color w:val="0462C1"/>
                <w:u w:val="single" w:color="0462C1"/>
              </w:rPr>
              <w:t>Washington</w:t>
            </w:r>
            <w:r>
              <w:rPr>
                <w:color w:val="0462C1"/>
                <w:spacing w:val="-14"/>
                <w:u w:val="single" w:color="0462C1"/>
              </w:rPr>
              <w:t> </w:t>
            </w:r>
            <w:r>
              <w:rPr>
                <w:color w:val="0462C1"/>
                <w:u w:val="single" w:color="0462C1"/>
              </w:rPr>
              <w:t>Department</w:t>
            </w:r>
            <w:r>
              <w:rPr>
                <w:color w:val="0462C1"/>
                <w:spacing w:val="-15"/>
                <w:u w:val="single" w:color="0462C1"/>
              </w:rPr>
              <w:t> </w:t>
            </w:r>
            <w:r>
              <w:rPr>
                <w:color w:val="0462C1"/>
                <w:u w:val="single" w:color="0462C1"/>
              </w:rPr>
              <w:t>of</w:t>
            </w:r>
            <w:r>
              <w:rPr>
                <w:color w:val="0462C1"/>
                <w:spacing w:val="-12"/>
                <w:u w:val="single" w:color="0462C1"/>
              </w:rPr>
              <w:t> </w:t>
            </w:r>
            <w:r>
              <w:rPr>
                <w:color w:val="0462C1"/>
                <w:u w:val="single" w:color="0462C1"/>
              </w:rPr>
              <w:t>Natural</w:t>
            </w:r>
            <w:r>
              <w:rPr>
                <w:color w:val="0462C1"/>
                <w:spacing w:val="-18"/>
                <w:u w:val="single" w:color="0462C1"/>
              </w:rPr>
              <w:t> </w:t>
            </w:r>
            <w:r>
              <w:rPr>
                <w:color w:val="0462C1"/>
                <w:u w:val="single" w:color="0462C1"/>
              </w:rPr>
              <w:t>Resources</w:t>
            </w:r>
            <w:r>
              <w:rPr>
                <w:color w:val="0462C1"/>
                <w:spacing w:val="-15"/>
                <w:u w:val="single" w:color="0462C1"/>
              </w:rPr>
              <w:t> </w:t>
            </w:r>
            <w:r>
              <w:rPr>
                <w:color w:val="0462C1"/>
                <w:u w:val="single" w:color="0462C1"/>
              </w:rPr>
              <w:t>Fire</w:t>
            </w:r>
            <w:r>
              <w:rPr>
                <w:color w:val="0462C1"/>
                <w:spacing w:val="-14"/>
                <w:u w:val="single" w:color="0462C1"/>
              </w:rPr>
              <w:t> </w:t>
            </w:r>
            <w:r>
              <w:rPr>
                <w:color w:val="0462C1"/>
                <w:u w:val="single" w:color="0462C1"/>
              </w:rPr>
              <w:t>Danger</w:t>
            </w:r>
            <w:r>
              <w:rPr>
                <w:color w:val="0462C1"/>
                <w:spacing w:val="-16"/>
                <w:u w:val="single" w:color="0462C1"/>
              </w:rPr>
              <w:t> </w:t>
            </w:r>
            <w:r>
              <w:rPr>
                <w:color w:val="0462C1"/>
                <w:u w:val="single" w:color="0462C1"/>
              </w:rPr>
              <w:t>Program</w:t>
            </w:r>
          </w:hyperlink>
          <w:r>
            <w:rPr/>
            <w:tab/>
            <w:t>81</w:t>
          </w:r>
        </w:p>
        <w:p>
          <w:pPr>
            <w:pStyle w:val="TOC1"/>
            <w:tabs>
              <w:tab w:pos="10464" w:val="right" w:leader="dot"/>
            </w:tabs>
            <w:spacing w:before="549"/>
            <w:rPr>
              <w:u w:val="none"/>
            </w:rPr>
          </w:pPr>
          <w:bookmarkStart w:name="_bookmark1" w:id="4"/>
          <w:bookmarkEnd w:id="4"/>
          <w:r>
            <w:rPr>
              <w:b w:val="0"/>
              <w:u w:val="none"/>
            </w:rPr>
          </w:r>
          <w:hyperlink w:history="true" w:anchor="_bookmark1">
            <w:r>
              <w:rPr>
                <w:color w:val="0462C1"/>
                <w:u w:val="thick" w:color="0462C1"/>
              </w:rPr>
              <w:t>Appendix </w:t>
            </w:r>
            <w:r>
              <w:rPr>
                <w:color w:val="0462C1"/>
                <w:spacing w:val="-6"/>
                <w:u w:val="thick" w:color="0462C1"/>
              </w:rPr>
              <w:t>A: </w:t>
            </w:r>
            <w:r>
              <w:rPr>
                <w:color w:val="0462C1"/>
                <w:u w:val="thick" w:color="0462C1"/>
              </w:rPr>
              <w:t>Fire Weather Agreements</w:t>
            </w:r>
            <w:r>
              <w:rPr>
                <w:color w:val="0462C1"/>
                <w:spacing w:val="17"/>
                <w:u w:val="thick" w:color="0462C1"/>
              </w:rPr>
              <w:t> </w:t>
            </w:r>
            <w:r>
              <w:rPr>
                <w:color w:val="0462C1"/>
                <w:u w:val="thick" w:color="0462C1"/>
              </w:rPr>
              <w:t>and</w:t>
            </w:r>
            <w:r>
              <w:rPr>
                <w:color w:val="0462C1"/>
                <w:spacing w:val="-1"/>
                <w:u w:val="thick" w:color="0462C1"/>
              </w:rPr>
              <w:t> </w:t>
            </w:r>
            <w:r>
              <w:rPr>
                <w:color w:val="0462C1"/>
                <w:u w:val="thick" w:color="0462C1"/>
              </w:rPr>
              <w:t>Documents</w:t>
            </w:r>
          </w:hyperlink>
          <w:r>
            <w:rPr>
              <w:u w:val="none"/>
            </w:rPr>
            <w:tab/>
            <w:t>86</w:t>
          </w:r>
        </w:p>
        <w:p>
          <w:pPr>
            <w:pStyle w:val="TOC1"/>
            <w:tabs>
              <w:tab w:pos="10464" w:val="right" w:leader="dot"/>
            </w:tabs>
            <w:rPr>
              <w:u w:val="none"/>
            </w:rPr>
          </w:pPr>
          <w:hyperlink w:history="true" w:anchor="_bookmark20">
            <w:r>
              <w:rPr>
                <w:color w:val="0462C1"/>
                <w:u w:val="thick" w:color="0462C1"/>
              </w:rPr>
              <w:t>Appendix B: Forecast and Service</w:t>
            </w:r>
            <w:r>
              <w:rPr>
                <w:color w:val="0462C1"/>
                <w:spacing w:val="-37"/>
                <w:u w:val="thick" w:color="0462C1"/>
              </w:rPr>
              <w:t> </w:t>
            </w:r>
            <w:r>
              <w:rPr>
                <w:color w:val="0462C1"/>
                <w:u w:val="thick" w:color="0462C1"/>
              </w:rPr>
              <w:t>Performance</w:t>
            </w:r>
            <w:r>
              <w:rPr>
                <w:color w:val="0462C1"/>
                <w:spacing w:val="-7"/>
                <w:u w:val="thick" w:color="0462C1"/>
              </w:rPr>
              <w:t> </w:t>
            </w:r>
            <w:r>
              <w:rPr>
                <w:color w:val="0462C1"/>
                <w:u w:val="thick" w:color="0462C1"/>
              </w:rPr>
              <w:t>Measures</w:t>
            </w:r>
          </w:hyperlink>
          <w:r>
            <w:rPr>
              <w:u w:val="none"/>
            </w:rPr>
            <w:tab/>
            <w:t>87</w:t>
          </w:r>
        </w:p>
        <w:p>
          <w:pPr>
            <w:pStyle w:val="TOC1"/>
            <w:tabs>
              <w:tab w:pos="10462" w:val="right" w:leader="dot"/>
            </w:tabs>
            <w:rPr>
              <w:u w:val="none"/>
            </w:rPr>
          </w:pPr>
          <w:hyperlink w:history="true" w:anchor="_bookmark21">
            <w:r>
              <w:rPr>
                <w:color w:val="0462C1"/>
                <w:u w:val="thick" w:color="0462C1"/>
              </w:rPr>
              <w:t>Appendix</w:t>
            </w:r>
            <w:r>
              <w:rPr>
                <w:color w:val="0462C1"/>
                <w:spacing w:val="-14"/>
                <w:u w:val="thick" w:color="0462C1"/>
              </w:rPr>
              <w:t> </w:t>
            </w:r>
            <w:r>
              <w:rPr>
                <w:color w:val="0462C1"/>
                <w:u w:val="thick" w:color="0462C1"/>
              </w:rPr>
              <w:t>C:</w:t>
            </w:r>
            <w:r>
              <w:rPr>
                <w:color w:val="0462C1"/>
                <w:spacing w:val="-14"/>
                <w:u w:val="thick" w:color="0462C1"/>
              </w:rPr>
              <w:t> </w:t>
            </w:r>
            <w:r>
              <w:rPr>
                <w:color w:val="0462C1"/>
                <w:u w:val="thick" w:color="0462C1"/>
              </w:rPr>
              <w:t>Reimbursement</w:t>
            </w:r>
            <w:r>
              <w:rPr>
                <w:color w:val="0462C1"/>
                <w:spacing w:val="-18"/>
                <w:u w:val="thick" w:color="0462C1"/>
              </w:rPr>
              <w:t> </w:t>
            </w:r>
            <w:r>
              <w:rPr>
                <w:color w:val="0462C1"/>
                <w:u w:val="thick" w:color="0462C1"/>
              </w:rPr>
              <w:t>for</w:t>
            </w:r>
            <w:r>
              <w:rPr>
                <w:color w:val="0462C1"/>
                <w:spacing w:val="-15"/>
                <w:u w:val="thick" w:color="0462C1"/>
              </w:rPr>
              <w:t> </w:t>
            </w:r>
            <w:r>
              <w:rPr>
                <w:color w:val="0462C1"/>
                <w:u w:val="thick" w:color="0462C1"/>
              </w:rPr>
              <w:t>NWS-provided</w:t>
            </w:r>
            <w:r>
              <w:rPr>
                <w:color w:val="0462C1"/>
                <w:spacing w:val="-18"/>
                <w:u w:val="thick" w:color="0462C1"/>
              </w:rPr>
              <w:t> </w:t>
            </w:r>
            <w:r>
              <w:rPr>
                <w:color w:val="0462C1"/>
                <w:u w:val="thick" w:color="0462C1"/>
              </w:rPr>
              <w:t>Training</w:t>
            </w:r>
          </w:hyperlink>
          <w:r>
            <w:rPr>
              <w:u w:val="none"/>
            </w:rPr>
            <w:tab/>
            <w:t>89</w:t>
          </w:r>
        </w:p>
        <w:p>
          <w:pPr>
            <w:pStyle w:val="TOC1"/>
            <w:tabs>
              <w:tab w:pos="10462" w:val="right" w:leader="dot"/>
            </w:tabs>
            <w:spacing w:before="274"/>
            <w:rPr>
              <w:u w:val="none"/>
            </w:rPr>
          </w:pPr>
          <w:hyperlink w:history="true" w:anchor="_bookmark22">
            <w:r>
              <w:rPr>
                <w:color w:val="0462C1"/>
                <w:u w:val="thick" w:color="0462C1"/>
              </w:rPr>
              <w:t>Appendix</w:t>
            </w:r>
            <w:r>
              <w:rPr>
                <w:color w:val="0462C1"/>
                <w:spacing w:val="-14"/>
                <w:u w:val="thick" w:color="0462C1"/>
              </w:rPr>
              <w:t> </w:t>
            </w:r>
            <w:r>
              <w:rPr>
                <w:color w:val="0462C1"/>
                <w:u w:val="thick" w:color="0462C1"/>
              </w:rPr>
              <w:t>D:</w:t>
            </w:r>
            <w:r>
              <w:rPr>
                <w:color w:val="0462C1"/>
                <w:spacing w:val="-14"/>
                <w:u w:val="thick" w:color="0462C1"/>
              </w:rPr>
              <w:t> </w:t>
            </w:r>
            <w:r>
              <w:rPr>
                <w:color w:val="0462C1"/>
                <w:u w:val="thick" w:color="0462C1"/>
              </w:rPr>
              <w:t>Meteorologist</w:t>
            </w:r>
            <w:r>
              <w:rPr>
                <w:color w:val="0462C1"/>
                <w:spacing w:val="-18"/>
                <w:u w:val="thick" w:color="0462C1"/>
              </w:rPr>
              <w:t> </w:t>
            </w:r>
            <w:r>
              <w:rPr>
                <w:color w:val="0462C1"/>
                <w:u w:val="thick" w:color="0462C1"/>
              </w:rPr>
              <w:t>Position</w:t>
            </w:r>
            <w:r>
              <w:rPr>
                <w:color w:val="0462C1"/>
                <w:spacing w:val="-18"/>
                <w:u w:val="thick" w:color="0462C1"/>
              </w:rPr>
              <w:t> </w:t>
            </w:r>
            <w:r>
              <w:rPr>
                <w:color w:val="0462C1"/>
                <w:u w:val="thick" w:color="0462C1"/>
              </w:rPr>
              <w:t>Description</w:t>
            </w:r>
            <w:r>
              <w:rPr>
                <w:color w:val="0462C1"/>
                <w:spacing w:val="-16"/>
                <w:u w:val="thick" w:color="0462C1"/>
              </w:rPr>
              <w:t> </w:t>
            </w:r>
            <w:r>
              <w:rPr>
                <w:color w:val="0462C1"/>
                <w:u w:val="thick" w:color="0462C1"/>
              </w:rPr>
              <w:t>Form</w:t>
            </w:r>
          </w:hyperlink>
          <w:r>
            <w:rPr>
              <w:u w:val="none"/>
            </w:rPr>
            <w:tab/>
            <w:t>90</w:t>
          </w:r>
        </w:p>
        <w:p>
          <w:pPr>
            <w:pStyle w:val="TOC1"/>
            <w:tabs>
              <w:tab w:pos="10464" w:val="right" w:leader="dot"/>
            </w:tabs>
            <w:rPr>
              <w:u w:val="none"/>
            </w:rPr>
          </w:pPr>
          <w:hyperlink w:history="true" w:anchor="_bookmark23">
            <w:r>
              <w:rPr>
                <w:color w:val="0462C1"/>
                <w:u w:val="thick" w:color="0462C1"/>
              </w:rPr>
              <w:t>Appendix E: IMET Billing Points</w:t>
            </w:r>
            <w:r>
              <w:rPr>
                <w:color w:val="0462C1"/>
                <w:spacing w:val="-8"/>
                <w:u w:val="thick" w:color="0462C1"/>
              </w:rPr>
              <w:t> </w:t>
            </w:r>
            <w:r>
              <w:rPr>
                <w:color w:val="0462C1"/>
                <w:u w:val="thick" w:color="0462C1"/>
              </w:rPr>
              <w:t>of</w:t>
            </w:r>
            <w:r>
              <w:rPr>
                <w:color w:val="0462C1"/>
                <w:spacing w:val="-6"/>
                <w:u w:val="thick" w:color="0462C1"/>
              </w:rPr>
              <w:t> </w:t>
            </w:r>
            <w:r>
              <w:rPr>
                <w:color w:val="0462C1"/>
                <w:u w:val="thick" w:color="0462C1"/>
              </w:rPr>
              <w:t>Contact</w:t>
            </w:r>
          </w:hyperlink>
          <w:r>
            <w:rPr>
              <w:u w:val="none"/>
            </w:rPr>
            <w:tab/>
            <w:t>91</w:t>
          </w:r>
        </w:p>
        <w:p>
          <w:pPr>
            <w:pStyle w:val="TOC1"/>
            <w:tabs>
              <w:tab w:pos="10464" w:val="right" w:leader="dot"/>
            </w:tabs>
            <w:rPr>
              <w:u w:val="none"/>
            </w:rPr>
          </w:pPr>
          <w:hyperlink w:history="true" w:anchor="_bookmark24">
            <w:r>
              <w:rPr>
                <w:color w:val="0462C1"/>
                <w:u w:val="thick" w:color="0462C1"/>
              </w:rPr>
              <w:t>Appendix F: HYSPLIT</w:t>
            </w:r>
            <w:r>
              <w:rPr>
                <w:color w:val="0462C1"/>
                <w:spacing w:val="-29"/>
                <w:u w:val="thick" w:color="0462C1"/>
              </w:rPr>
              <w:t> </w:t>
            </w:r>
            <w:r>
              <w:rPr>
                <w:color w:val="0462C1"/>
                <w:u w:val="thick" w:color="0462C1"/>
              </w:rPr>
              <w:t>Request</w:t>
            </w:r>
            <w:r>
              <w:rPr>
                <w:color w:val="0462C1"/>
                <w:spacing w:val="-16"/>
                <w:u w:val="thick" w:color="0462C1"/>
              </w:rPr>
              <w:t> </w:t>
            </w:r>
            <w:r>
              <w:rPr>
                <w:color w:val="0462C1"/>
                <w:u w:val="thick" w:color="0462C1"/>
              </w:rPr>
              <w:t>Instructions</w:t>
            </w:r>
          </w:hyperlink>
          <w:r>
            <w:rPr>
              <w:u w:val="none"/>
            </w:rPr>
            <w:tab/>
            <w:t>93</w:t>
          </w:r>
        </w:p>
      </w:sdtContent>
    </w:sdt>
    <w:p>
      <w:pPr>
        <w:spacing w:after="0"/>
        <w:sectPr>
          <w:pgSz w:w="12240" w:h="15840"/>
          <w:pgMar w:header="0" w:footer="968" w:top="1380" w:bottom="1160" w:left="340" w:right="620"/>
        </w:sectPr>
      </w:pPr>
    </w:p>
    <w:p>
      <w:pPr>
        <w:pStyle w:val="Heading1"/>
        <w:ind w:right="5645"/>
      </w:pPr>
      <w:bookmarkStart w:name="Chapter 1 Administrative" w:id="5"/>
      <w:bookmarkEnd w:id="5"/>
      <w:r>
        <w:rPr>
          <w:b w:val="0"/>
        </w:rPr>
      </w:r>
      <w:bookmarkStart w:name="_bookmark2" w:id="6"/>
      <w:bookmarkEnd w:id="6"/>
      <w:r>
        <w:rPr>
          <w:b w:val="0"/>
        </w:rPr>
      </w:r>
      <w:r>
        <w:rPr>
          <w:color w:val="2C3D50"/>
        </w:rPr>
        <w:t>Chapter 1</w:t>
      </w:r>
      <w:bookmarkStart w:name="INTRODUCTION" w:id="7"/>
      <w:bookmarkEnd w:id="7"/>
      <w:r>
        <w:rPr>
          <w:color w:val="2C3D50"/>
        </w:rPr>
      </w:r>
      <w:bookmarkStart w:name="_bookmark3" w:id="8"/>
      <w:bookmarkEnd w:id="8"/>
      <w:r>
        <w:rPr>
          <w:color w:val="2C3D50"/>
        </w:rPr>
      </w:r>
      <w:r>
        <w:rPr>
          <w:color w:val="2C3D50"/>
        </w:rPr>
        <w:t> </w:t>
      </w:r>
      <w:r>
        <w:rPr>
          <w:color w:val="2C3D50"/>
          <w:w w:val="95"/>
        </w:rPr>
        <w:t>Administrative</w:t>
      </w:r>
    </w:p>
    <w:p>
      <w:pPr>
        <w:pStyle w:val="Heading6"/>
        <w:spacing w:before="276"/>
        <w:ind w:left="1100"/>
      </w:pPr>
      <w:r>
        <w:rPr/>
        <w:t>INTRODUCTION</w:t>
      </w:r>
    </w:p>
    <w:p>
      <w:pPr>
        <w:pStyle w:val="BodyText"/>
        <w:spacing w:before="10"/>
        <w:rPr>
          <w:b/>
          <w:sz w:val="23"/>
        </w:rPr>
      </w:pPr>
    </w:p>
    <w:p>
      <w:pPr>
        <w:pStyle w:val="ListParagraph"/>
        <w:numPr>
          <w:ilvl w:val="0"/>
          <w:numId w:val="1"/>
        </w:numPr>
        <w:tabs>
          <w:tab w:pos="1367" w:val="left" w:leader="none"/>
        </w:tabs>
        <w:spacing w:line="240" w:lineRule="auto" w:before="0" w:after="0"/>
        <w:ind w:left="1388" w:right="916" w:hanging="288"/>
        <w:jc w:val="left"/>
        <w:rPr>
          <w:sz w:val="24"/>
        </w:rPr>
      </w:pPr>
      <w:r>
        <w:rPr>
          <w:sz w:val="24"/>
        </w:rPr>
        <w:t>The Pacific Northwest Fire Weather Annual Operating Plan (AOP) constitutes an agreement between the Pacific Northwest Wildfire Coordinating Group (PNWCG), which is comprised of state, local government and Federal land management agencies</w:t>
      </w:r>
      <w:r>
        <w:rPr>
          <w:spacing w:val="-4"/>
          <w:sz w:val="24"/>
        </w:rPr>
        <w:t> </w:t>
      </w:r>
      <w:r>
        <w:rPr>
          <w:sz w:val="24"/>
        </w:rPr>
        <w:t>charged</w:t>
      </w:r>
      <w:r>
        <w:rPr>
          <w:spacing w:val="-3"/>
          <w:sz w:val="24"/>
        </w:rPr>
        <w:t> </w:t>
      </w:r>
      <w:r>
        <w:rPr>
          <w:sz w:val="24"/>
        </w:rPr>
        <w:t>with</w:t>
      </w:r>
      <w:r>
        <w:rPr>
          <w:spacing w:val="-3"/>
          <w:sz w:val="24"/>
        </w:rPr>
        <w:t> </w:t>
      </w:r>
      <w:r>
        <w:rPr>
          <w:sz w:val="24"/>
        </w:rPr>
        <w:t>the</w:t>
      </w:r>
      <w:r>
        <w:rPr>
          <w:spacing w:val="-5"/>
          <w:sz w:val="24"/>
        </w:rPr>
        <w:t> </w:t>
      </w:r>
      <w:r>
        <w:rPr>
          <w:sz w:val="24"/>
        </w:rPr>
        <w:t>protection</w:t>
      </w:r>
      <w:r>
        <w:rPr>
          <w:spacing w:val="-5"/>
          <w:sz w:val="24"/>
        </w:rPr>
        <w:t> </w:t>
      </w:r>
      <w:r>
        <w:rPr>
          <w:sz w:val="24"/>
        </w:rPr>
        <w:t>of</w:t>
      </w:r>
      <w:r>
        <w:rPr>
          <w:spacing w:val="-1"/>
          <w:sz w:val="24"/>
        </w:rPr>
        <w:t> </w:t>
      </w:r>
      <w:r>
        <w:rPr>
          <w:sz w:val="24"/>
        </w:rPr>
        <w:t>life,</w:t>
      </w:r>
      <w:r>
        <w:rPr>
          <w:spacing w:val="-6"/>
          <w:sz w:val="24"/>
        </w:rPr>
        <w:t> </w:t>
      </w:r>
      <w:r>
        <w:rPr>
          <w:sz w:val="24"/>
        </w:rPr>
        <w:t>property</w:t>
      </w:r>
      <w:r>
        <w:rPr>
          <w:spacing w:val="-6"/>
          <w:sz w:val="24"/>
        </w:rPr>
        <w:t> </w:t>
      </w:r>
      <w:r>
        <w:rPr>
          <w:sz w:val="24"/>
        </w:rPr>
        <w:t>and</w:t>
      </w:r>
      <w:r>
        <w:rPr>
          <w:spacing w:val="-5"/>
          <w:sz w:val="24"/>
        </w:rPr>
        <w:t> </w:t>
      </w:r>
      <w:r>
        <w:rPr>
          <w:sz w:val="24"/>
        </w:rPr>
        <w:t>resources</w:t>
      </w:r>
      <w:r>
        <w:rPr>
          <w:spacing w:val="-6"/>
          <w:sz w:val="24"/>
        </w:rPr>
        <w:t> </w:t>
      </w:r>
      <w:r>
        <w:rPr>
          <w:sz w:val="24"/>
        </w:rPr>
        <w:t>within</w:t>
      </w:r>
      <w:r>
        <w:rPr>
          <w:spacing w:val="-3"/>
          <w:sz w:val="24"/>
        </w:rPr>
        <w:t> </w:t>
      </w:r>
      <w:r>
        <w:rPr>
          <w:sz w:val="24"/>
        </w:rPr>
        <w:t>the</w:t>
      </w:r>
      <w:r>
        <w:rPr>
          <w:spacing w:val="-32"/>
          <w:sz w:val="24"/>
        </w:rPr>
        <w:t> </w:t>
      </w:r>
      <w:r>
        <w:rPr>
          <w:sz w:val="24"/>
        </w:rPr>
        <w:t>Pacific Northwest from threat of wildfire; and the National Weather Service (NWS), National Oceanic and Atmospheric Administration, U.S. Department of Commerce, charged with</w:t>
      </w:r>
      <w:r>
        <w:rPr>
          <w:spacing w:val="-2"/>
          <w:sz w:val="24"/>
        </w:rPr>
        <w:t> </w:t>
      </w:r>
      <w:r>
        <w:rPr>
          <w:sz w:val="24"/>
        </w:rPr>
        <w:t>providing</w:t>
      </w:r>
      <w:r>
        <w:rPr>
          <w:spacing w:val="-2"/>
          <w:sz w:val="24"/>
        </w:rPr>
        <w:t> </w:t>
      </w:r>
      <w:r>
        <w:rPr>
          <w:sz w:val="24"/>
        </w:rPr>
        <w:t>weather</w:t>
      </w:r>
      <w:r>
        <w:rPr>
          <w:spacing w:val="-4"/>
          <w:sz w:val="24"/>
        </w:rPr>
        <w:t> </w:t>
      </w:r>
      <w:r>
        <w:rPr>
          <w:sz w:val="24"/>
        </w:rPr>
        <w:t>forecasts</w:t>
      </w:r>
      <w:r>
        <w:rPr>
          <w:spacing w:val="-5"/>
          <w:sz w:val="24"/>
        </w:rPr>
        <w:t> </w:t>
      </w:r>
      <w:r>
        <w:rPr>
          <w:sz w:val="24"/>
        </w:rPr>
        <w:t>to</w:t>
      </w:r>
      <w:r>
        <w:rPr>
          <w:spacing w:val="-2"/>
          <w:sz w:val="24"/>
        </w:rPr>
        <w:t> </w:t>
      </w:r>
      <w:r>
        <w:rPr>
          <w:sz w:val="24"/>
        </w:rPr>
        <w:t>the</w:t>
      </w:r>
      <w:r>
        <w:rPr>
          <w:spacing w:val="-2"/>
          <w:sz w:val="24"/>
        </w:rPr>
        <w:t> </w:t>
      </w:r>
      <w:r>
        <w:rPr>
          <w:sz w:val="24"/>
        </w:rPr>
        <w:t>Nation</w:t>
      </w:r>
      <w:r>
        <w:rPr>
          <w:spacing w:val="-4"/>
          <w:sz w:val="24"/>
        </w:rPr>
        <w:t> </w:t>
      </w:r>
      <w:r>
        <w:rPr>
          <w:sz w:val="24"/>
        </w:rPr>
        <w:t>for</w:t>
      </w:r>
      <w:r>
        <w:rPr>
          <w:spacing w:val="-4"/>
          <w:sz w:val="24"/>
        </w:rPr>
        <w:t> </w:t>
      </w:r>
      <w:r>
        <w:rPr>
          <w:sz w:val="24"/>
        </w:rPr>
        <w:t>the</w:t>
      </w:r>
      <w:r>
        <w:rPr>
          <w:spacing w:val="-2"/>
          <w:sz w:val="24"/>
        </w:rPr>
        <w:t> </w:t>
      </w:r>
      <w:r>
        <w:rPr>
          <w:sz w:val="24"/>
        </w:rPr>
        <w:t>protection</w:t>
      </w:r>
      <w:r>
        <w:rPr>
          <w:spacing w:val="-2"/>
          <w:sz w:val="24"/>
        </w:rPr>
        <w:t> </w:t>
      </w:r>
      <w:r>
        <w:rPr>
          <w:sz w:val="24"/>
        </w:rPr>
        <w:t>of</w:t>
      </w:r>
      <w:r>
        <w:rPr>
          <w:spacing w:val="-2"/>
          <w:sz w:val="24"/>
        </w:rPr>
        <w:t> </w:t>
      </w:r>
      <w:r>
        <w:rPr>
          <w:sz w:val="24"/>
        </w:rPr>
        <w:t>life</w:t>
      </w:r>
      <w:r>
        <w:rPr>
          <w:spacing w:val="-2"/>
          <w:sz w:val="24"/>
        </w:rPr>
        <w:t> </w:t>
      </w:r>
      <w:r>
        <w:rPr>
          <w:sz w:val="24"/>
        </w:rPr>
        <w:t>and</w:t>
      </w:r>
      <w:r>
        <w:rPr>
          <w:spacing w:val="-30"/>
          <w:sz w:val="24"/>
        </w:rPr>
        <w:t> </w:t>
      </w:r>
      <w:r>
        <w:rPr>
          <w:sz w:val="24"/>
        </w:rPr>
        <w:t>property.</w:t>
      </w:r>
    </w:p>
    <w:p>
      <w:pPr>
        <w:pStyle w:val="BodyText"/>
      </w:pPr>
    </w:p>
    <w:p>
      <w:pPr>
        <w:pStyle w:val="BodyText"/>
        <w:ind w:left="1388" w:right="907"/>
      </w:pPr>
      <w:r>
        <w:rPr/>
        <w:t>The AOP provides specific procedural and policy information for the delivery of fire weather information to the fire management community in the Pacific Northwest. It is the objective of the NWS and PNWCG to ensure that quality of service is maintained through a mutual analysis of services provided. The NWS and PNWCG work closely in all phases of the fire weather forecast and warning program to resolve concerns and avoid potential inconsistencies in products and services prior to delivery to fire agency customers. The goal of all agencies is to maximize firefighter and public safety through a coordinated delivery of consistent services.</w:t>
      </w:r>
    </w:p>
    <w:p>
      <w:pPr>
        <w:pStyle w:val="BodyText"/>
      </w:pPr>
    </w:p>
    <w:p>
      <w:pPr>
        <w:pStyle w:val="BodyText"/>
        <w:ind w:left="1387" w:right="856"/>
      </w:pPr>
      <w:r>
        <w:rPr/>
        <w:t>Fire weather services are a critical building block to fire management agencies in decision-making because human lives and valuable natural resources are at risk. It is the role of the NWS to provide fire weather services and products to fire managers. It is the role of the fire management agencies to analyze and interpret fire weather forecasts into fire danger and fire potential predictions when making decisions essential to the success of fire management actions.</w:t>
      </w:r>
    </w:p>
    <w:p>
      <w:pPr>
        <w:pStyle w:val="BodyText"/>
        <w:spacing w:before="10"/>
        <w:rPr>
          <w:sz w:val="23"/>
        </w:rPr>
      </w:pPr>
    </w:p>
    <w:p>
      <w:pPr>
        <w:pStyle w:val="BodyText"/>
        <w:ind w:left="1388" w:right="1027"/>
      </w:pPr>
      <w:r>
        <w:rPr/>
        <w:t>It is to the mutual advantage of PNWCG and NWS and in the public interest and for firefighter safety to coordinate efforts for weather services for fire management activities in the Pacific Northwest to minimize duplication of efforts and improve efficiency and effectiveness.</w:t>
      </w:r>
    </w:p>
    <w:p>
      <w:pPr>
        <w:pStyle w:val="BodyText"/>
      </w:pPr>
    </w:p>
    <w:p>
      <w:pPr>
        <w:pStyle w:val="ListParagraph"/>
        <w:numPr>
          <w:ilvl w:val="0"/>
          <w:numId w:val="1"/>
        </w:numPr>
        <w:tabs>
          <w:tab w:pos="1367" w:val="left" w:leader="none"/>
        </w:tabs>
        <w:spacing w:line="240" w:lineRule="auto" w:before="0" w:after="0"/>
        <w:ind w:left="1388" w:right="1323" w:hanging="288"/>
        <w:jc w:val="left"/>
        <w:rPr>
          <w:sz w:val="24"/>
        </w:rPr>
      </w:pPr>
      <w:r>
        <w:rPr>
          <w:sz w:val="24"/>
        </w:rPr>
        <w:t>The</w:t>
      </w:r>
      <w:r>
        <w:rPr>
          <w:spacing w:val="-3"/>
          <w:sz w:val="24"/>
        </w:rPr>
        <w:t> </w:t>
      </w:r>
      <w:r>
        <w:rPr>
          <w:sz w:val="24"/>
        </w:rPr>
        <w:t>general</w:t>
      </w:r>
      <w:r>
        <w:rPr>
          <w:spacing w:val="-4"/>
          <w:sz w:val="24"/>
        </w:rPr>
        <w:t> </w:t>
      </w:r>
      <w:r>
        <w:rPr>
          <w:sz w:val="24"/>
        </w:rPr>
        <w:t>relationship</w:t>
      </w:r>
      <w:r>
        <w:rPr>
          <w:spacing w:val="-3"/>
          <w:sz w:val="24"/>
        </w:rPr>
        <w:t> </w:t>
      </w:r>
      <w:r>
        <w:rPr>
          <w:sz w:val="24"/>
        </w:rPr>
        <w:t>between</w:t>
      </w:r>
      <w:r>
        <w:rPr>
          <w:spacing w:val="-3"/>
          <w:sz w:val="24"/>
        </w:rPr>
        <w:t> </w:t>
      </w:r>
      <w:r>
        <w:rPr>
          <w:sz w:val="24"/>
        </w:rPr>
        <w:t>the</w:t>
      </w:r>
      <w:r>
        <w:rPr>
          <w:spacing w:val="-3"/>
          <w:sz w:val="24"/>
        </w:rPr>
        <w:t> </w:t>
      </w:r>
      <w:r>
        <w:rPr>
          <w:sz w:val="24"/>
        </w:rPr>
        <w:t>NWS</w:t>
      </w:r>
      <w:r>
        <w:rPr>
          <w:spacing w:val="-6"/>
          <w:sz w:val="24"/>
        </w:rPr>
        <w:t> </w:t>
      </w:r>
      <w:r>
        <w:rPr>
          <w:sz w:val="24"/>
        </w:rPr>
        <w:t>and</w:t>
      </w:r>
      <w:r>
        <w:rPr>
          <w:spacing w:val="-3"/>
          <w:sz w:val="24"/>
        </w:rPr>
        <w:t> </w:t>
      </w:r>
      <w:r>
        <w:rPr>
          <w:sz w:val="24"/>
        </w:rPr>
        <w:t>the</w:t>
      </w:r>
      <w:r>
        <w:rPr>
          <w:spacing w:val="-3"/>
          <w:sz w:val="24"/>
        </w:rPr>
        <w:t> </w:t>
      </w:r>
      <w:r>
        <w:rPr>
          <w:sz w:val="24"/>
        </w:rPr>
        <w:t>interagency</w:t>
      </w:r>
      <w:r>
        <w:rPr>
          <w:spacing w:val="-9"/>
          <w:sz w:val="24"/>
        </w:rPr>
        <w:t> </w:t>
      </w:r>
      <w:r>
        <w:rPr>
          <w:sz w:val="24"/>
        </w:rPr>
        <w:t>fire</w:t>
      </w:r>
      <w:r>
        <w:rPr>
          <w:spacing w:val="-37"/>
          <w:sz w:val="24"/>
        </w:rPr>
        <w:t> </w:t>
      </w:r>
      <w:r>
        <w:rPr>
          <w:sz w:val="24"/>
        </w:rPr>
        <w:t>management community is set forth in the following reference</w:t>
      </w:r>
      <w:r>
        <w:rPr>
          <w:spacing w:val="-28"/>
          <w:sz w:val="24"/>
        </w:rPr>
        <w:t> </w:t>
      </w:r>
      <w:r>
        <w:rPr>
          <w:sz w:val="24"/>
        </w:rPr>
        <w:t>documents:</w:t>
      </w:r>
    </w:p>
    <w:p>
      <w:pPr>
        <w:pStyle w:val="BodyText"/>
      </w:pPr>
    </w:p>
    <w:p>
      <w:pPr>
        <w:pStyle w:val="BodyText"/>
        <w:ind w:left="1388" w:right="1054"/>
      </w:pPr>
      <w:hyperlink r:id="rId12">
        <w:r>
          <w:rPr>
            <w:color w:val="0462C1"/>
            <w:u w:val="single" w:color="0462C1"/>
          </w:rPr>
          <w:t>Interagency Agreement for Meteorological Services Among the Bureau of Land</w:t>
        </w:r>
      </w:hyperlink>
      <w:r>
        <w:rPr>
          <w:color w:val="0462C1"/>
        </w:rPr>
        <w:t> </w:t>
      </w:r>
      <w:hyperlink r:id="rId12">
        <w:r>
          <w:rPr>
            <w:color w:val="0462C1"/>
            <w:u w:val="single" w:color="0462C1"/>
          </w:rPr>
          <w:t>Management, Bureau of Indian Affairs, U.S. Fish and Wildlife Service, and National</w:t>
        </w:r>
      </w:hyperlink>
      <w:r>
        <w:rPr>
          <w:color w:val="0462C1"/>
        </w:rPr>
        <w:t> </w:t>
      </w:r>
      <w:hyperlink r:id="rId12">
        <w:r>
          <w:rPr>
            <w:color w:val="0462C1"/>
            <w:u w:val="single" w:color="0462C1"/>
          </w:rPr>
          <w:t>Park Service of the U.S. Dept. of Interior, the Forest Service of the U.S. Dept. of</w:t>
        </w:r>
      </w:hyperlink>
      <w:r>
        <w:rPr>
          <w:color w:val="0462C1"/>
        </w:rPr>
        <w:t> </w:t>
      </w:r>
      <w:hyperlink r:id="rId12">
        <w:r>
          <w:rPr>
            <w:color w:val="0462C1"/>
            <w:u w:val="single" w:color="0462C1"/>
          </w:rPr>
          <w:t>Agriculture, and the National Weather Service of the U.S. Dept. of Commerce</w:t>
        </w:r>
      </w:hyperlink>
      <w:r>
        <w:rPr>
          <w:color w:val="0462C1"/>
        </w:rPr>
        <w:t> </w:t>
      </w:r>
      <w:hyperlink r:id="rId12">
        <w:r>
          <w:rPr>
            <w:color w:val="0462C1"/>
            <w:u w:val="single" w:color="0462C1"/>
          </w:rPr>
          <w:t>(National MOA or National Agreement);</w:t>
        </w:r>
      </w:hyperlink>
    </w:p>
    <w:p>
      <w:pPr>
        <w:pStyle w:val="BodyText"/>
        <w:rPr>
          <w:sz w:val="16"/>
        </w:rPr>
      </w:pPr>
    </w:p>
    <w:p>
      <w:pPr>
        <w:pStyle w:val="BodyText"/>
        <w:spacing w:before="92"/>
        <w:ind w:left="1388"/>
      </w:pPr>
      <w:hyperlink r:id="rId13">
        <w:r>
          <w:rPr>
            <w:color w:val="0462C1"/>
            <w:u w:val="single" w:color="0462C1"/>
          </w:rPr>
          <w:t>National Weather Service NWSI 10-4: Fire Weather Services;</w:t>
        </w:r>
      </w:hyperlink>
    </w:p>
    <w:p>
      <w:pPr>
        <w:spacing w:after="0"/>
        <w:sectPr>
          <w:pgSz w:w="12240" w:h="15840"/>
          <w:pgMar w:header="0" w:footer="968" w:top="1380" w:bottom="1240" w:left="340" w:right="620"/>
        </w:sectPr>
      </w:pPr>
    </w:p>
    <w:p>
      <w:pPr>
        <w:pStyle w:val="BodyText"/>
        <w:spacing w:before="4"/>
        <w:rPr>
          <w:sz w:val="10"/>
        </w:rPr>
      </w:pPr>
    </w:p>
    <w:p>
      <w:pPr>
        <w:pStyle w:val="BodyText"/>
        <w:spacing w:before="92"/>
        <w:ind w:left="1388"/>
      </w:pPr>
      <w:hyperlink r:id="rId14">
        <w:r>
          <w:rPr>
            <w:color w:val="0462C1"/>
            <w:u w:val="single" w:color="0462C1"/>
          </w:rPr>
          <w:t>2016 National Mobilization Guide;</w:t>
        </w:r>
        <w:r>
          <w:rPr>
            <w:color w:val="0462C1"/>
          </w:rPr>
          <w:t> </w:t>
        </w:r>
      </w:hyperlink>
      <w:r>
        <w:rPr/>
        <w:t>and</w:t>
      </w:r>
    </w:p>
    <w:p>
      <w:pPr>
        <w:pStyle w:val="BodyText"/>
        <w:spacing w:before="9"/>
        <w:rPr>
          <w:sz w:val="15"/>
        </w:rPr>
      </w:pPr>
    </w:p>
    <w:p>
      <w:pPr>
        <w:pStyle w:val="BodyText"/>
        <w:spacing w:before="93"/>
        <w:ind w:left="1388"/>
      </w:pPr>
      <w:hyperlink r:id="rId15">
        <w:r>
          <w:rPr>
            <w:color w:val="0462C1"/>
            <w:u w:val="single" w:color="0462C1"/>
          </w:rPr>
          <w:t>Pacific Northwest Mobilization Guide</w:t>
        </w:r>
      </w:hyperlink>
    </w:p>
    <w:p>
      <w:pPr>
        <w:pStyle w:val="BodyText"/>
        <w:spacing w:before="11"/>
        <w:rPr>
          <w:sz w:val="15"/>
        </w:rPr>
      </w:pPr>
    </w:p>
    <w:p>
      <w:pPr>
        <w:pStyle w:val="ListParagraph"/>
        <w:numPr>
          <w:ilvl w:val="0"/>
          <w:numId w:val="1"/>
        </w:numPr>
        <w:tabs>
          <w:tab w:pos="1355" w:val="left" w:leader="none"/>
        </w:tabs>
        <w:spacing w:line="240" w:lineRule="auto" w:before="92" w:after="0"/>
        <w:ind w:left="1388" w:right="919" w:hanging="288"/>
        <w:jc w:val="left"/>
        <w:rPr>
          <w:sz w:val="24"/>
        </w:rPr>
      </w:pPr>
      <w:r>
        <w:rPr>
          <w:sz w:val="24"/>
        </w:rPr>
        <w:t>The PNWCG is comprised of the following Federal and State fire agencies: State of Oregon, Department of Forestry; State of Washington, Department of Natural Resources; USDA Forest Service, Pacific Northwest Region; USDI, National Park Service,</w:t>
      </w:r>
      <w:r>
        <w:rPr>
          <w:spacing w:val="-2"/>
          <w:sz w:val="24"/>
        </w:rPr>
        <w:t> </w:t>
      </w:r>
      <w:r>
        <w:rPr>
          <w:sz w:val="24"/>
        </w:rPr>
        <w:t>Pacific</w:t>
      </w:r>
      <w:r>
        <w:rPr>
          <w:spacing w:val="-8"/>
          <w:sz w:val="24"/>
        </w:rPr>
        <w:t> </w:t>
      </w:r>
      <w:r>
        <w:rPr>
          <w:sz w:val="24"/>
        </w:rPr>
        <w:t>West</w:t>
      </w:r>
      <w:r>
        <w:rPr>
          <w:spacing w:val="-5"/>
          <w:sz w:val="24"/>
        </w:rPr>
        <w:t> </w:t>
      </w:r>
      <w:r>
        <w:rPr>
          <w:sz w:val="24"/>
        </w:rPr>
        <w:t>Region;</w:t>
      </w:r>
      <w:r>
        <w:rPr>
          <w:spacing w:val="-2"/>
          <w:sz w:val="24"/>
        </w:rPr>
        <w:t> </w:t>
      </w:r>
      <w:r>
        <w:rPr>
          <w:sz w:val="24"/>
        </w:rPr>
        <w:t>USDI,</w:t>
      </w:r>
      <w:r>
        <w:rPr>
          <w:spacing w:val="-2"/>
          <w:sz w:val="24"/>
        </w:rPr>
        <w:t> </w:t>
      </w:r>
      <w:r>
        <w:rPr>
          <w:sz w:val="24"/>
        </w:rPr>
        <w:t>Fish</w:t>
      </w:r>
      <w:r>
        <w:rPr>
          <w:spacing w:val="-4"/>
          <w:sz w:val="24"/>
        </w:rPr>
        <w:t> </w:t>
      </w:r>
      <w:r>
        <w:rPr>
          <w:sz w:val="24"/>
        </w:rPr>
        <w:t>and</w:t>
      </w:r>
      <w:r>
        <w:rPr>
          <w:spacing w:val="-7"/>
          <w:sz w:val="24"/>
        </w:rPr>
        <w:t> </w:t>
      </w:r>
      <w:r>
        <w:rPr>
          <w:sz w:val="24"/>
        </w:rPr>
        <w:t>Wildlife</w:t>
      </w:r>
      <w:r>
        <w:rPr>
          <w:spacing w:val="-4"/>
          <w:sz w:val="24"/>
        </w:rPr>
        <w:t> </w:t>
      </w:r>
      <w:r>
        <w:rPr>
          <w:sz w:val="24"/>
        </w:rPr>
        <w:t>Service,</w:t>
      </w:r>
      <w:r>
        <w:rPr>
          <w:spacing w:val="-2"/>
          <w:sz w:val="24"/>
        </w:rPr>
        <w:t> </w:t>
      </w:r>
      <w:r>
        <w:rPr>
          <w:sz w:val="24"/>
        </w:rPr>
        <w:t>Pacific</w:t>
      </w:r>
      <w:r>
        <w:rPr>
          <w:spacing w:val="-3"/>
          <w:sz w:val="24"/>
        </w:rPr>
        <w:t> </w:t>
      </w:r>
      <w:r>
        <w:rPr>
          <w:sz w:val="24"/>
        </w:rPr>
        <w:t>Region;</w:t>
      </w:r>
      <w:r>
        <w:rPr>
          <w:spacing w:val="-23"/>
          <w:sz w:val="24"/>
        </w:rPr>
        <w:t> </w:t>
      </w:r>
      <w:r>
        <w:rPr>
          <w:sz w:val="24"/>
        </w:rPr>
        <w:t>USDI, Bureau of Indian Affairs, Portland Area Office; USDI, Bureau of Land Management, Oregon and</w:t>
      </w:r>
      <w:r>
        <w:rPr>
          <w:spacing w:val="-13"/>
          <w:sz w:val="24"/>
        </w:rPr>
        <w:t> </w:t>
      </w:r>
      <w:r>
        <w:rPr>
          <w:sz w:val="24"/>
        </w:rPr>
        <w:t>Washington.</w:t>
      </w:r>
    </w:p>
    <w:p>
      <w:pPr>
        <w:pStyle w:val="BodyText"/>
        <w:spacing w:before="10"/>
        <w:rPr>
          <w:sz w:val="23"/>
        </w:rPr>
      </w:pPr>
    </w:p>
    <w:p>
      <w:pPr>
        <w:pStyle w:val="Heading6"/>
        <w:ind w:left="1100"/>
      </w:pPr>
      <w:bookmarkStart w:name="NWS SERVICES AND RESPONSIBILITIES" w:id="9"/>
      <w:bookmarkEnd w:id="9"/>
      <w:r>
        <w:rPr>
          <w:b w:val="0"/>
        </w:rPr>
      </w:r>
      <w:bookmarkStart w:name="_bookmark4" w:id="10"/>
      <w:bookmarkEnd w:id="10"/>
      <w:r>
        <w:rPr>
          <w:b w:val="0"/>
        </w:rPr>
      </w:r>
      <w:r>
        <w:rPr/>
        <w:t>NWS SERVICES AND RESPONSIBILITIES</w:t>
      </w:r>
    </w:p>
    <w:p>
      <w:pPr>
        <w:pStyle w:val="BodyText"/>
        <w:spacing w:before="10"/>
        <w:rPr>
          <w:b/>
          <w:sz w:val="23"/>
        </w:rPr>
      </w:pPr>
    </w:p>
    <w:p>
      <w:pPr>
        <w:pStyle w:val="BodyText"/>
        <w:ind w:left="1100" w:right="889"/>
      </w:pPr>
      <w:r>
        <w:rPr/>
        <w:t>The National Weather Service will collaborate with the fire agencies when proposing alterations to the fire weather program and services provided in the Pacific Northwest. NWS-developed proposals are provided to PNWCG for review, assessment, and comment prior to adoption and implementation. NWS considers any concerns expressed by PNWCG, especially as related to performance integrity, in its assessment of change proposals in the fire weather program and other services provided.</w:t>
      </w:r>
    </w:p>
    <w:p>
      <w:pPr>
        <w:pStyle w:val="BodyText"/>
      </w:pPr>
    </w:p>
    <w:p>
      <w:pPr>
        <w:pStyle w:val="Heading8"/>
        <w:spacing w:before="1"/>
      </w:pPr>
      <w:bookmarkStart w:name="Fire Weather Services" w:id="11"/>
      <w:bookmarkEnd w:id="11"/>
      <w:r>
        <w:rPr>
          <w:b w:val="0"/>
        </w:rPr>
      </w:r>
      <w:r>
        <w:rPr/>
        <w:t>Fire Weather Services</w:t>
      </w:r>
    </w:p>
    <w:p>
      <w:pPr>
        <w:pStyle w:val="BodyText"/>
        <w:spacing w:before="11"/>
        <w:rPr>
          <w:b/>
          <w:sz w:val="23"/>
        </w:rPr>
      </w:pPr>
    </w:p>
    <w:p>
      <w:pPr>
        <w:pStyle w:val="ListParagraph"/>
        <w:numPr>
          <w:ilvl w:val="1"/>
          <w:numId w:val="1"/>
        </w:numPr>
        <w:tabs>
          <w:tab w:pos="1657" w:val="left" w:leader="none"/>
        </w:tabs>
        <w:spacing w:line="240" w:lineRule="auto" w:before="0" w:after="0"/>
        <w:ind w:left="1656" w:right="0" w:hanging="268"/>
        <w:jc w:val="left"/>
        <w:rPr>
          <w:b/>
          <w:sz w:val="24"/>
        </w:rPr>
      </w:pPr>
      <w:r>
        <w:rPr>
          <w:b/>
          <w:sz w:val="24"/>
          <w:u w:val="thick"/>
        </w:rPr>
        <w:t>Core grids and web-based fire weather decision</w:t>
      </w:r>
      <w:r>
        <w:rPr>
          <w:b/>
          <w:spacing w:val="-24"/>
          <w:sz w:val="24"/>
          <w:u w:val="thick"/>
        </w:rPr>
        <w:t> </w:t>
      </w:r>
      <w:r>
        <w:rPr>
          <w:b/>
          <w:sz w:val="24"/>
          <w:u w:val="thick"/>
        </w:rPr>
        <w:t>support</w:t>
      </w:r>
    </w:p>
    <w:p>
      <w:pPr>
        <w:pStyle w:val="BodyText"/>
        <w:ind w:left="1676" w:right="1326"/>
      </w:pPr>
      <w:r>
        <w:rPr/>
        <w:t>National Digital Forecast Database (NDFD) grids are used to produce a wide variety of products and services for fire weather support. Operational status of NWS grid elements is available at the following website:</w:t>
      </w:r>
    </w:p>
    <w:p>
      <w:pPr>
        <w:pStyle w:val="BodyText"/>
      </w:pPr>
    </w:p>
    <w:p>
      <w:pPr>
        <w:pStyle w:val="BodyText"/>
        <w:ind w:left="1675"/>
      </w:pPr>
      <w:hyperlink r:id="rId16">
        <w:r>
          <w:rPr>
            <w:color w:val="0462C1"/>
            <w:u w:val="single" w:color="0462C1"/>
          </w:rPr>
          <w:t>http://www.weather.gov/ndfd/resources/NDFD_element_status.pdf</w:t>
        </w:r>
      </w:hyperlink>
    </w:p>
    <w:p>
      <w:pPr>
        <w:pStyle w:val="BodyText"/>
        <w:rPr>
          <w:sz w:val="16"/>
        </w:rPr>
      </w:pPr>
    </w:p>
    <w:p>
      <w:pPr>
        <w:pStyle w:val="BodyText"/>
        <w:spacing w:before="92"/>
        <w:ind w:left="1675" w:right="993"/>
      </w:pPr>
      <w:r>
        <w:rPr/>
        <w:t>NWS offices produce several web-based digital planning tools to assist fire weather customers. These include FARSITE weather input data, hourly weather graphs, point forecast matrices, activity planners, hourly weather graphs, and 48- hour element meteograms. Please contact your local servicing NWS office with any questions or for more information.</w:t>
      </w:r>
    </w:p>
    <w:p>
      <w:pPr>
        <w:pStyle w:val="BodyText"/>
        <w:spacing w:before="9"/>
        <w:rPr>
          <w:sz w:val="23"/>
        </w:rPr>
      </w:pPr>
    </w:p>
    <w:p>
      <w:pPr>
        <w:pStyle w:val="BodyText"/>
        <w:spacing w:before="1"/>
        <w:ind w:left="1676" w:right="1740"/>
      </w:pPr>
      <w:r>
        <w:rPr/>
        <w:t>NWS fire weather grids for the Pacific Northwest are graphically displayed at </w:t>
      </w:r>
      <w:hyperlink r:id="rId17">
        <w:r>
          <w:rPr>
            <w:color w:val="0462C1"/>
            <w:u w:val="single" w:color="0462C1"/>
          </w:rPr>
          <w:t>http://graphical.weather.gov/sectors/pacnorthwestFireDay.php#tabs</w:t>
        </w:r>
      </w:hyperlink>
      <w:r>
        <w:rPr/>
        <w:t>.</w:t>
      </w:r>
    </w:p>
    <w:p>
      <w:pPr>
        <w:pStyle w:val="BodyText"/>
        <w:spacing w:before="2"/>
        <w:rPr>
          <w:sz w:val="16"/>
        </w:rPr>
      </w:pPr>
    </w:p>
    <w:p>
      <w:pPr>
        <w:pStyle w:val="Heading8"/>
        <w:numPr>
          <w:ilvl w:val="1"/>
          <w:numId w:val="1"/>
        </w:numPr>
        <w:tabs>
          <w:tab w:pos="1657" w:val="left" w:leader="none"/>
        </w:tabs>
        <w:spacing w:line="275" w:lineRule="exact" w:before="92" w:after="0"/>
        <w:ind w:left="1656" w:right="0" w:hanging="268"/>
        <w:jc w:val="left"/>
      </w:pPr>
      <w:bookmarkStart w:name="2. Fire weather watches and red flag war" w:id="12"/>
      <w:bookmarkEnd w:id="12"/>
      <w:r>
        <w:rPr>
          <w:b w:val="0"/>
        </w:rPr>
      </w:r>
      <w:bookmarkStart w:name="2. Fire weather watches and red flag war" w:id="13"/>
      <w:bookmarkEnd w:id="13"/>
      <w:r>
        <w:rPr>
          <w:u w:val="thick"/>
        </w:rPr>
        <w:t>F</w:t>
      </w:r>
      <w:r>
        <w:rPr>
          <w:u w:val="thick"/>
        </w:rPr>
        <w:t>ire weather watches and red flag</w:t>
      </w:r>
      <w:r>
        <w:rPr>
          <w:spacing w:val="-23"/>
          <w:u w:val="thick"/>
        </w:rPr>
        <w:t> </w:t>
      </w:r>
      <w:r>
        <w:rPr>
          <w:u w:val="thick"/>
        </w:rPr>
        <w:t>warnings</w:t>
      </w:r>
    </w:p>
    <w:p>
      <w:pPr>
        <w:pStyle w:val="BodyText"/>
        <w:ind w:left="1675" w:right="846"/>
      </w:pPr>
      <w:r>
        <w:rPr/>
        <w:t>Fire weather watches and red flag warnings are issued when the combination of dry fuels and weather conditions support extreme fire danger and/or fire behavior. These statements alert land management agencies to the potential for widespread new ignitions which could overwhelm initial attack activities, or conditions which could cause control problems on existing fires, etc. Any of these outcomes could pose a threat to life and property.</w:t>
      </w:r>
    </w:p>
    <w:p>
      <w:pPr>
        <w:spacing w:after="0"/>
        <w:sectPr>
          <w:pgSz w:w="12240" w:h="15840"/>
          <w:pgMar w:header="0" w:footer="968" w:top="1500" w:bottom="1240" w:left="340" w:right="620"/>
        </w:sectPr>
      </w:pPr>
    </w:p>
    <w:p>
      <w:pPr>
        <w:pStyle w:val="BodyText"/>
        <w:spacing w:before="11"/>
        <w:rPr>
          <w:sz w:val="9"/>
        </w:rPr>
      </w:pPr>
    </w:p>
    <w:p>
      <w:pPr>
        <w:pStyle w:val="BodyText"/>
        <w:spacing w:before="92"/>
        <w:ind w:left="1675" w:right="900"/>
      </w:pPr>
      <w:r>
        <w:rPr>
          <w:i/>
          <w:u w:val="single"/>
        </w:rPr>
        <w:t>Fire Weather Watch:</w:t>
      </w:r>
      <w:r>
        <w:rPr>
          <w:i/>
        </w:rPr>
        <w:t> </w:t>
      </w:r>
      <w:r>
        <w:rPr/>
        <w:t>A fire weather watch is issued when there is a high potential for the development of a red flag event. A watch is issued 18 to 96 hours in advance of the expected onset of criteria. The watch may be issued for all, or selected portions within a fire weather zone or region. The overall intent of a fire weather watch is to alert forecast users at least a day in advance for the purposes of resource allocation and fire fighter safety.</w:t>
      </w:r>
    </w:p>
    <w:p>
      <w:pPr>
        <w:pStyle w:val="BodyText"/>
        <w:spacing w:before="7"/>
        <w:rPr>
          <w:sz w:val="23"/>
        </w:rPr>
      </w:pPr>
    </w:p>
    <w:p>
      <w:pPr>
        <w:pStyle w:val="BodyText"/>
        <w:ind w:left="1676" w:right="898"/>
      </w:pPr>
      <w:r>
        <w:rPr>
          <w:i/>
          <w:u w:val="single"/>
        </w:rPr>
        <w:t>Red Flag Warning:</w:t>
      </w:r>
      <w:r>
        <w:rPr>
          <w:i/>
        </w:rPr>
        <w:t> </w:t>
      </w:r>
      <w:r>
        <w:rPr/>
        <w:t>A red flag Warning is used to warn of impending or occurring red flag conditions. Its issuance denotes a high degree of confidence that weather and fuel conditions consistent with local red flag event criteria will occur in 48 hours or less. Longer lead times are allowed when confidence is very high or the fire danger situation is critical. Forecasters can issue a warning for all or selected portions within a fire weather zone.</w:t>
      </w:r>
    </w:p>
    <w:p>
      <w:pPr>
        <w:pStyle w:val="BodyText"/>
        <w:spacing w:before="2"/>
      </w:pPr>
    </w:p>
    <w:p>
      <w:pPr>
        <w:pStyle w:val="BodyText"/>
        <w:spacing w:before="1"/>
        <w:ind w:left="1676" w:right="885"/>
      </w:pPr>
      <w:r>
        <w:rPr/>
        <w:t>Prior to issuance, all red flag warnings are coordinated with affected agencies and neighboring fire weather offices, in order to assess fuel conditions and general fire danger. Each issuance, update or cancellation of a fire weather watch or red flag warning is also relayed by telephone to the dispatch office(s) affected by the watch/warning. Red flag warnings and fire weather watches will be issued using a bulleted format.</w:t>
      </w:r>
    </w:p>
    <w:p>
      <w:pPr>
        <w:pStyle w:val="BodyText"/>
        <w:spacing w:before="11"/>
        <w:rPr>
          <w:sz w:val="23"/>
        </w:rPr>
      </w:pPr>
    </w:p>
    <w:p>
      <w:pPr>
        <w:pStyle w:val="Heading8"/>
        <w:numPr>
          <w:ilvl w:val="1"/>
          <w:numId w:val="1"/>
        </w:numPr>
        <w:tabs>
          <w:tab w:pos="1657" w:val="left" w:leader="none"/>
        </w:tabs>
        <w:spacing w:line="240" w:lineRule="auto" w:before="0" w:after="0"/>
        <w:ind w:left="1656" w:right="0" w:hanging="268"/>
        <w:jc w:val="left"/>
      </w:pPr>
      <w:bookmarkStart w:name="3. Spot forecasts" w:id="14"/>
      <w:bookmarkEnd w:id="14"/>
      <w:r>
        <w:rPr>
          <w:b w:val="0"/>
        </w:rPr>
      </w:r>
      <w:bookmarkStart w:name="3. Spot forecasts" w:id="15"/>
      <w:bookmarkEnd w:id="15"/>
      <w:r>
        <w:rPr>
          <w:u w:val="thick"/>
        </w:rPr>
        <w:t>S</w:t>
      </w:r>
      <w:r>
        <w:rPr>
          <w:u w:val="thick"/>
        </w:rPr>
        <w:t>pot</w:t>
      </w:r>
      <w:r>
        <w:rPr>
          <w:spacing w:val="-6"/>
          <w:u w:val="thick"/>
        </w:rPr>
        <w:t> </w:t>
      </w:r>
      <w:r>
        <w:rPr>
          <w:u w:val="thick"/>
        </w:rPr>
        <w:t>forecasts</w:t>
      </w:r>
    </w:p>
    <w:p>
      <w:pPr>
        <w:pStyle w:val="BodyText"/>
        <w:ind w:left="1656" w:right="1000"/>
      </w:pPr>
      <w:r>
        <w:rPr/>
        <w:t>Spot forecasts are site specific forecasts issued by the NWS in support of wildfire suppression and natural resource management. Spot forecasts may also be issued for hazardous materials incidents, search and rescue missions and other threats to public and responder safety. All spot forecast requests should be accompanied by a representative on-site weather observation.</w:t>
      </w:r>
    </w:p>
    <w:p>
      <w:pPr>
        <w:pStyle w:val="BodyText"/>
      </w:pPr>
    </w:p>
    <w:p>
      <w:pPr>
        <w:pStyle w:val="BodyText"/>
        <w:ind w:left="1656" w:right="892"/>
      </w:pPr>
      <w:r>
        <w:rPr>
          <w:u w:val="single"/>
        </w:rPr>
        <w:t>Issuance Criteria:</w:t>
      </w:r>
      <w:r>
        <w:rPr/>
        <w:t> Spot forecasts are non-routine products issued at the request of the user. WFOs will provide spot forecast service upon request of any federal, state, tribal, or local official who represents the spot forecast is required to support a wildfire.</w:t>
      </w:r>
    </w:p>
    <w:p>
      <w:pPr>
        <w:pStyle w:val="BodyText"/>
        <w:spacing w:before="9"/>
        <w:rPr>
          <w:sz w:val="23"/>
        </w:rPr>
      </w:pPr>
    </w:p>
    <w:p>
      <w:pPr>
        <w:pStyle w:val="BodyText"/>
        <w:spacing w:before="1"/>
        <w:ind w:left="1656" w:right="1080"/>
      </w:pPr>
      <w:r>
        <w:rPr/>
        <w:t>For non-wildfire purposes, resources permitting, WFOs will provide spot forecast service under the circumstances and conditions outlined in </w:t>
      </w:r>
      <w:hyperlink r:id="rId18">
        <w:r>
          <w:rPr>
            <w:color w:val="0462C1"/>
            <w:u w:val="single" w:color="0462C1"/>
          </w:rPr>
          <w:t>NWS Instruction 10-</w:t>
        </w:r>
      </w:hyperlink>
    </w:p>
    <w:p>
      <w:pPr>
        <w:pStyle w:val="BodyText"/>
        <w:ind w:left="1656" w:right="1093"/>
      </w:pPr>
      <w:hyperlink r:id="rId18">
        <w:r>
          <w:rPr>
            <w:color w:val="0462C1"/>
            <w:u w:val="single" w:color="0462C1"/>
          </w:rPr>
          <w:t>401</w:t>
        </w:r>
      </w:hyperlink>
      <w:r>
        <w:rPr/>
        <w:t>. Spot forecasts will not be provided to private citizens or commercial entities not acting as an agent of a government agency.</w:t>
      </w:r>
    </w:p>
    <w:p>
      <w:pPr>
        <w:pStyle w:val="BodyText"/>
        <w:spacing w:before="2"/>
      </w:pPr>
    </w:p>
    <w:p>
      <w:pPr>
        <w:pStyle w:val="BodyText"/>
        <w:ind w:left="1656" w:right="879"/>
      </w:pPr>
      <w:r>
        <w:rPr>
          <w:u w:val="single"/>
        </w:rPr>
        <w:t>Requesting a Spot Forecast: </w:t>
      </w:r>
      <w:r>
        <w:rPr/>
        <w:t>Spot forecast requests are normally made via the Internet through local NWS fire weather pages. When web access is not available, spot forecasts may be requested and disseminated via fax - using the spot forecast request form D-1 (NWSI-401) in </w:t>
      </w:r>
      <w:hyperlink w:history="true" w:anchor="_bookmark23">
        <w:r>
          <w:rPr>
            <w:color w:val="0462C1"/>
            <w:u w:val="single" w:color="0462C1"/>
          </w:rPr>
          <w:t>Appendix E</w:t>
        </w:r>
      </w:hyperlink>
      <w:r>
        <w:rPr/>
        <w:t>. An electronic fillable pdf version of WS form D-1 can be found at:</w:t>
      </w:r>
    </w:p>
    <w:p>
      <w:pPr>
        <w:pStyle w:val="BodyText"/>
        <w:ind w:left="1656"/>
      </w:pPr>
      <w:r>
        <w:rPr/>
        <w:t>6</w:t>
      </w:r>
      <w:r>
        <w:rPr>
          <w:color w:val="0462C1"/>
        </w:rPr>
        <w:t> </w:t>
      </w:r>
      <w:hyperlink r:id="rId19">
        <w:r>
          <w:rPr>
            <w:color w:val="0462C1"/>
            <w:u w:val="single" w:color="0462C1"/>
          </w:rPr>
          <w:t>http://www.srh.noaa.gov/ridge2/fire/docs/WS_FORM_D_SPOT.pdf</w:t>
        </w:r>
      </w:hyperlink>
    </w:p>
    <w:p>
      <w:pPr>
        <w:spacing w:after="0"/>
        <w:sectPr>
          <w:pgSz w:w="12240" w:h="15840"/>
          <w:pgMar w:header="0" w:footer="968" w:top="1500" w:bottom="1240" w:left="340" w:right="620"/>
        </w:sectPr>
      </w:pPr>
    </w:p>
    <w:p>
      <w:pPr>
        <w:spacing w:line="240" w:lineRule="auto" w:before="75"/>
        <w:ind w:left="1656" w:right="839" w:firstLine="0"/>
        <w:jc w:val="left"/>
        <w:rPr>
          <w:b/>
          <w:sz w:val="24"/>
        </w:rPr>
      </w:pPr>
      <w:r>
        <w:rPr>
          <w:sz w:val="24"/>
        </w:rPr>
        <w:t>The requestor must provide information about the location (latitude/longitude), slope aspect, drainage name, fuel type(s), top and bottom elevations of fire or project, size of fire or project, ignition time, and contact names and telephone numbers of the responsible land management personnel. </w:t>
      </w:r>
      <w:r>
        <w:rPr>
          <w:b/>
          <w:sz w:val="24"/>
        </w:rPr>
        <w:t>It is critically important that each spot forecast request also include quality, representative observations at, or near, the site. A detailed description of the observation location relative to the project (if not at the site) should be provided. The description should include, at a minimum, distance and direction from the project or fire site, station elevation and aspect.</w:t>
      </w:r>
    </w:p>
    <w:p>
      <w:pPr>
        <w:pStyle w:val="BodyText"/>
        <w:spacing w:before="10"/>
        <w:rPr>
          <w:b/>
          <w:sz w:val="23"/>
        </w:rPr>
      </w:pPr>
    </w:p>
    <w:p>
      <w:pPr>
        <w:pStyle w:val="BodyText"/>
        <w:ind w:left="1656" w:right="839"/>
      </w:pPr>
      <w:r>
        <w:rPr/>
        <w:t>An exception to the rule regarding on-site weather observations is as follows: a spot forecast request can be made without an observation if it is on an initial attack fire of less than two hours, there are red flag warnings or fire weather watches in effect, or the available fire weather forecasts is not representative of what is observed at the site. Even in this situation, a representative observation will result in a better forecast.</w:t>
      </w:r>
    </w:p>
    <w:p>
      <w:pPr>
        <w:pStyle w:val="BodyText"/>
      </w:pPr>
    </w:p>
    <w:p>
      <w:pPr>
        <w:pStyle w:val="BodyText"/>
        <w:ind w:left="1656" w:right="998"/>
      </w:pPr>
      <w:r>
        <w:rPr/>
        <w:t>Fire agencies are strongly encouraged to call the WFO after submitting a spot request to ensure it was received properly. The WFO will attempt to notify field personnel and/or the dispatch office whenever there is a significant change in the expected weather.</w:t>
      </w:r>
    </w:p>
    <w:p>
      <w:pPr>
        <w:pStyle w:val="BodyText"/>
        <w:spacing w:before="9"/>
        <w:rPr>
          <w:sz w:val="23"/>
        </w:rPr>
      </w:pPr>
    </w:p>
    <w:p>
      <w:pPr>
        <w:pStyle w:val="BodyText"/>
        <w:ind w:left="1656" w:right="2533"/>
      </w:pPr>
      <w:r>
        <w:rPr/>
        <w:t>For detailed instructions submitting a Spot Forecast Request, go to: </w:t>
      </w:r>
      <w:hyperlink r:id="rId20">
        <w:r>
          <w:rPr>
            <w:color w:val="0462C1"/>
            <w:u w:val="single" w:color="0462C1"/>
          </w:rPr>
          <w:t>http://www.wrh.noaa.gov/sew/NW_SpotRequestInstructions.pdf</w:t>
        </w:r>
      </w:hyperlink>
    </w:p>
    <w:p>
      <w:pPr>
        <w:pStyle w:val="BodyText"/>
        <w:rPr>
          <w:sz w:val="16"/>
        </w:rPr>
      </w:pPr>
    </w:p>
    <w:p>
      <w:pPr>
        <w:pStyle w:val="BodyText"/>
        <w:spacing w:before="92"/>
        <w:ind w:left="1656" w:right="880"/>
      </w:pPr>
      <w:r>
        <w:rPr>
          <w:u w:val="single"/>
        </w:rPr>
        <w:t>Updates to Spot Forecasts</w:t>
      </w:r>
      <w:r>
        <w:rPr/>
        <w:t>: Spot forecasts are considered one-time requests, and are not routinely updated. Spot forecasts may be updated when new representative observations are available to the forecaster or if the forecaster deems the current forecast does not adequately represent current or expected weather conditions. Land or emergency management personnel are encouraged to contact the appropriate WFO for a spot update if forecast conditions appear unrepresentative of the actual weather conditions. The spot forecast will be corrected when a typographical or format error is detected that could confuse the intended meaning. Updated and corrected spot forecasts will be delivered to users in the same manner as the original spot forecast when</w:t>
      </w:r>
      <w:r>
        <w:rPr>
          <w:spacing w:val="-12"/>
        </w:rPr>
        <w:t> </w:t>
      </w:r>
      <w:r>
        <w:rPr/>
        <w:t>possible.</w:t>
      </w:r>
    </w:p>
    <w:p>
      <w:pPr>
        <w:pStyle w:val="BodyText"/>
      </w:pPr>
    </w:p>
    <w:p>
      <w:pPr>
        <w:pStyle w:val="BodyText"/>
        <w:ind w:left="1656" w:right="865"/>
      </w:pPr>
      <w:r>
        <w:rPr>
          <w:u w:val="single"/>
        </w:rPr>
        <w:t>Spot Forecast Feedback: </w:t>
      </w:r>
      <w:r>
        <w:rPr/>
        <w:t>Good communication between fire managers and the NWS is critical for quality spot forecast services. Land management personnel should provide feedback to the NWS forecasters about the quality and accuracy of the spot forecast. Responsibility for providing fire line observations for the verification of forecast accuracy rests with the land management agencies. Onsite observations taken during the operational period the forecast is valid for are to be provided back to the WFO via the feedback box online spot forecast form, or by phone, fax or e-mail.</w:t>
      </w:r>
    </w:p>
    <w:p>
      <w:pPr>
        <w:spacing w:after="0"/>
        <w:sectPr>
          <w:pgSz w:w="12240" w:h="15840"/>
          <w:pgMar w:header="0" w:footer="968" w:top="1360" w:bottom="1240" w:left="340" w:right="620"/>
        </w:sectPr>
      </w:pPr>
    </w:p>
    <w:p>
      <w:pPr>
        <w:pStyle w:val="BodyText"/>
        <w:spacing w:line="237" w:lineRule="auto" w:before="78"/>
        <w:ind w:left="1656" w:right="1040"/>
      </w:pPr>
      <w:r>
        <w:rPr>
          <w:u w:val="single"/>
        </w:rPr>
        <w:t>Hysplit Trajectory Output: </w:t>
      </w:r>
      <w:r>
        <w:rPr/>
        <w:t>Hysplit trajectory output is available when requesting a Spot Forecast. See </w:t>
      </w:r>
      <w:hyperlink w:history="true" w:anchor="_bookmark24">
        <w:r>
          <w:rPr>
            <w:color w:val="0462C1"/>
            <w:u w:val="single" w:color="0462C1"/>
          </w:rPr>
          <w:t>Appendix F </w:t>
        </w:r>
      </w:hyperlink>
      <w:r>
        <w:rPr/>
        <w:t>for details.</w:t>
      </w:r>
    </w:p>
    <w:p>
      <w:pPr>
        <w:pStyle w:val="BodyText"/>
        <w:spacing w:before="3"/>
        <w:rPr>
          <w:sz w:val="16"/>
        </w:rPr>
      </w:pPr>
    </w:p>
    <w:p>
      <w:pPr>
        <w:pStyle w:val="Heading8"/>
        <w:numPr>
          <w:ilvl w:val="1"/>
          <w:numId w:val="1"/>
        </w:numPr>
        <w:tabs>
          <w:tab w:pos="1657" w:val="left" w:leader="none"/>
        </w:tabs>
        <w:spacing w:line="275" w:lineRule="exact" w:before="92" w:after="0"/>
        <w:ind w:left="1656" w:right="0" w:hanging="268"/>
        <w:jc w:val="left"/>
      </w:pPr>
      <w:bookmarkStart w:name="4. Fire weather planning forecasts" w:id="16"/>
      <w:bookmarkEnd w:id="16"/>
      <w:r>
        <w:rPr>
          <w:b w:val="0"/>
        </w:rPr>
      </w:r>
      <w:bookmarkStart w:name="4. Fire weather planning forecasts" w:id="17"/>
      <w:bookmarkEnd w:id="17"/>
      <w:r>
        <w:rPr>
          <w:u w:val="thick"/>
        </w:rPr>
        <w:t>F</w:t>
      </w:r>
      <w:r>
        <w:rPr>
          <w:u w:val="thick"/>
        </w:rPr>
        <w:t>ire weather planning</w:t>
      </w:r>
      <w:r>
        <w:rPr>
          <w:spacing w:val="-9"/>
          <w:u w:val="thick"/>
        </w:rPr>
        <w:t> </w:t>
      </w:r>
      <w:r>
        <w:rPr>
          <w:u w:val="thick"/>
        </w:rPr>
        <w:t>forecasts</w:t>
      </w:r>
    </w:p>
    <w:p>
      <w:pPr>
        <w:pStyle w:val="BodyText"/>
        <w:ind w:left="1656" w:right="905"/>
      </w:pPr>
      <w:r>
        <w:rPr/>
        <w:t>The Fire weather planning forecast is a zone-type product used by land management personnel primarily for input in decision-making related to pre- suppression and other planning. The decisions impact firefighter safety, protection of the public and 7 property, and resource allocation. Weather parameters represent average conditions across the given zone.</w:t>
      </w:r>
    </w:p>
    <w:p>
      <w:pPr>
        <w:pStyle w:val="BodyText"/>
        <w:spacing w:before="10"/>
        <w:rPr>
          <w:sz w:val="23"/>
        </w:rPr>
      </w:pPr>
    </w:p>
    <w:p>
      <w:pPr>
        <w:pStyle w:val="BodyText"/>
        <w:ind w:left="1656" w:right="843"/>
      </w:pPr>
      <w:r>
        <w:rPr/>
        <w:t>Headlines are included in the fire weather planning forecast (FWF) whenever a red flag warning or fire weather watch is in effect or to highlight other critical weather information. A brief, clear, non-technical discussion of weather patterns that will influence the forecast area will begin the forecast with the emphasis on the first two days of the forecast period. A discussion of latter periods will be included if significant weather is expected to impact safety or operations. Sky and weather, maximum and minimum temperature and relative humidity, wind speed and direction, Haines index, lightning activity level and chance of wetting rain are included in the FWF by all of the WFOs in the Pacific Northwest. Several offices also forecast mixing height and transport</w:t>
      </w:r>
      <w:r>
        <w:rPr>
          <w:spacing w:val="-22"/>
        </w:rPr>
        <w:t> </w:t>
      </w:r>
      <w:r>
        <w:rPr/>
        <w:t>winds.</w:t>
      </w:r>
    </w:p>
    <w:p>
      <w:pPr>
        <w:pStyle w:val="BodyText"/>
      </w:pPr>
    </w:p>
    <w:p>
      <w:pPr>
        <w:pStyle w:val="BodyText"/>
        <w:spacing w:before="1"/>
        <w:ind w:left="1656" w:right="852"/>
      </w:pPr>
      <w:r>
        <w:rPr/>
        <w:t>Two forecasts will be issued daily during fire season – a morning forecast between 5 AM and 9 AM and an afternoon forecast around 3 PM. Once-a-day forecasts will continue through the spring and fall burning seasons at the request of the land managers with some offices continuing land management forecasts through the winter. Local start and stop dates shall be coordinated between the NWS offices and fire weather customers, including the geographic area Predictive Services Units.</w:t>
      </w:r>
    </w:p>
    <w:p>
      <w:pPr>
        <w:pStyle w:val="BodyText"/>
        <w:spacing w:before="9"/>
        <w:rPr>
          <w:sz w:val="23"/>
        </w:rPr>
      </w:pPr>
    </w:p>
    <w:p>
      <w:pPr>
        <w:pStyle w:val="Heading8"/>
        <w:numPr>
          <w:ilvl w:val="1"/>
          <w:numId w:val="1"/>
        </w:numPr>
        <w:tabs>
          <w:tab w:pos="1657" w:val="left" w:leader="none"/>
        </w:tabs>
        <w:spacing w:line="240" w:lineRule="auto" w:before="0" w:after="0"/>
        <w:ind w:left="1656" w:right="0" w:hanging="268"/>
        <w:jc w:val="left"/>
      </w:pPr>
      <w:bookmarkStart w:name="5. NFDRS forecasts" w:id="18"/>
      <w:bookmarkEnd w:id="18"/>
      <w:r>
        <w:rPr>
          <w:b w:val="0"/>
        </w:rPr>
      </w:r>
      <w:bookmarkStart w:name="5. NFDRS forecasts" w:id="19"/>
      <w:bookmarkEnd w:id="19"/>
      <w:r>
        <w:rPr>
          <w:u w:val="thick"/>
        </w:rPr>
        <w:t>NF</w:t>
      </w:r>
      <w:r>
        <w:rPr>
          <w:u w:val="thick"/>
        </w:rPr>
        <w:t>DRS</w:t>
      </w:r>
      <w:r>
        <w:rPr>
          <w:spacing w:val="-5"/>
          <w:u w:val="thick"/>
        </w:rPr>
        <w:t> </w:t>
      </w:r>
      <w:r>
        <w:rPr>
          <w:u w:val="thick"/>
        </w:rPr>
        <w:t>forecasts</w:t>
      </w:r>
    </w:p>
    <w:p>
      <w:pPr>
        <w:pStyle w:val="BodyText"/>
        <w:ind w:left="1656" w:right="1013"/>
      </w:pPr>
      <w:r>
        <w:rPr/>
        <w:t>The National Weather Service role in NFDRS is providing weather forecast input, which combined with fire agency input, allows the NFDRS software in WIMS to predict the next day's fire danger indices. These indices impact agency resource management decisions, firefighter safety, and protection of the public and property.</w:t>
      </w:r>
    </w:p>
    <w:p>
      <w:pPr>
        <w:pStyle w:val="BodyText"/>
      </w:pPr>
    </w:p>
    <w:p>
      <w:pPr>
        <w:pStyle w:val="BodyText"/>
        <w:ind w:left="1656" w:right="879"/>
      </w:pPr>
      <w:r>
        <w:rPr/>
        <w:t>Numerical point forecasts for NFDRS stations are prepared and disseminated to WIMS by 1540 each afternoon from April or May through early October. The point forecasts are used to compute the expected NFDRS indices valid the following day. The number of NFDRS point forecasts made by the weather office depends only on the number of NFDRS observations input into WIMS by the fire agencies. If</w:t>
      </w:r>
      <w:r>
        <w:rPr>
          <w:spacing w:val="-1"/>
        </w:rPr>
        <w:t> </w:t>
      </w:r>
      <w:r>
        <w:rPr/>
        <w:t>observations</w:t>
      </w:r>
      <w:r>
        <w:rPr>
          <w:spacing w:val="-2"/>
        </w:rPr>
        <w:t> </w:t>
      </w:r>
      <w:r>
        <w:rPr/>
        <w:t>are</w:t>
      </w:r>
      <w:r>
        <w:rPr>
          <w:spacing w:val="-3"/>
        </w:rPr>
        <w:t> </w:t>
      </w:r>
      <w:r>
        <w:rPr/>
        <w:t>not</w:t>
      </w:r>
      <w:r>
        <w:rPr>
          <w:spacing w:val="-6"/>
        </w:rPr>
        <w:t> </w:t>
      </w:r>
      <w:r>
        <w:rPr/>
        <w:t>entered</w:t>
      </w:r>
      <w:r>
        <w:rPr>
          <w:spacing w:val="-1"/>
        </w:rPr>
        <w:t> </w:t>
      </w:r>
      <w:r>
        <w:rPr/>
        <w:t>into</w:t>
      </w:r>
      <w:r>
        <w:rPr>
          <w:spacing w:val="-8"/>
        </w:rPr>
        <w:t> </w:t>
      </w:r>
      <w:r>
        <w:rPr/>
        <w:t>WIMS</w:t>
      </w:r>
      <w:r>
        <w:rPr>
          <w:spacing w:val="-1"/>
        </w:rPr>
        <w:t> </w:t>
      </w:r>
      <w:r>
        <w:rPr/>
        <w:t>by</w:t>
      </w:r>
      <w:r>
        <w:rPr>
          <w:spacing w:val="-7"/>
        </w:rPr>
        <w:t> </w:t>
      </w:r>
      <w:r>
        <w:rPr/>
        <w:t>1500</w:t>
      </w:r>
      <w:r>
        <w:rPr>
          <w:spacing w:val="-1"/>
        </w:rPr>
        <w:t> </w:t>
      </w:r>
      <w:r>
        <w:rPr/>
        <w:t>however,</w:t>
      </w:r>
      <w:r>
        <w:rPr>
          <w:spacing w:val="-1"/>
        </w:rPr>
        <w:t> </w:t>
      </w:r>
      <w:r>
        <w:rPr/>
        <w:t>a</w:t>
      </w:r>
      <w:r>
        <w:rPr>
          <w:spacing w:val="-3"/>
        </w:rPr>
        <w:t> </w:t>
      </w:r>
      <w:r>
        <w:rPr/>
        <w:t>forecast</w:t>
      </w:r>
      <w:r>
        <w:rPr>
          <w:spacing w:val="-1"/>
        </w:rPr>
        <w:t> </w:t>
      </w:r>
      <w:r>
        <w:rPr/>
        <w:t>may</w:t>
      </w:r>
      <w:r>
        <w:rPr>
          <w:spacing w:val="-4"/>
        </w:rPr>
        <w:t> </w:t>
      </w:r>
      <w:r>
        <w:rPr/>
        <w:t>not</w:t>
      </w:r>
      <w:r>
        <w:rPr>
          <w:spacing w:val="-37"/>
        </w:rPr>
        <w:t> </w:t>
      </w:r>
      <w:r>
        <w:rPr/>
        <w:t>be produced for those stations. A weather forecaster may also not produce a forecast for sites with highly questionable</w:t>
      </w:r>
      <w:r>
        <w:rPr>
          <w:spacing w:val="-20"/>
        </w:rPr>
        <w:t> </w:t>
      </w:r>
      <w:r>
        <w:rPr/>
        <w:t>observations.</w:t>
      </w:r>
    </w:p>
    <w:p>
      <w:pPr>
        <w:pStyle w:val="BodyText"/>
      </w:pPr>
    </w:p>
    <w:p>
      <w:pPr>
        <w:pStyle w:val="Heading8"/>
        <w:numPr>
          <w:ilvl w:val="1"/>
          <w:numId w:val="1"/>
        </w:numPr>
        <w:tabs>
          <w:tab w:pos="1657" w:val="left" w:leader="none"/>
        </w:tabs>
        <w:spacing w:line="240" w:lineRule="auto" w:before="0" w:after="0"/>
        <w:ind w:left="1656" w:right="0" w:hanging="268"/>
        <w:jc w:val="left"/>
      </w:pPr>
      <w:bookmarkStart w:name="6. Phone briefings" w:id="20"/>
      <w:bookmarkEnd w:id="20"/>
      <w:r>
        <w:rPr>
          <w:b w:val="0"/>
        </w:rPr>
      </w:r>
      <w:bookmarkStart w:name="6. Phone briefings" w:id="21"/>
      <w:bookmarkEnd w:id="21"/>
      <w:r>
        <w:rPr>
          <w:u w:val="thick"/>
        </w:rPr>
        <w:t>P</w:t>
      </w:r>
      <w:r>
        <w:rPr>
          <w:u w:val="thick"/>
        </w:rPr>
        <w:t>hone</w:t>
      </w:r>
      <w:r>
        <w:rPr>
          <w:spacing w:val="-2"/>
          <w:u w:val="thick"/>
        </w:rPr>
        <w:t> </w:t>
      </w:r>
      <w:r>
        <w:rPr>
          <w:u w:val="thick"/>
        </w:rPr>
        <w:t>briefings</w:t>
      </w:r>
    </w:p>
    <w:p>
      <w:pPr>
        <w:spacing w:after="0" w:line="240" w:lineRule="auto"/>
        <w:jc w:val="left"/>
        <w:sectPr>
          <w:pgSz w:w="12240" w:h="15840"/>
          <w:pgMar w:header="0" w:footer="968" w:top="1360" w:bottom="1240" w:left="340" w:right="620"/>
        </w:sectPr>
      </w:pPr>
    </w:p>
    <w:p>
      <w:pPr>
        <w:pStyle w:val="BodyText"/>
        <w:spacing w:before="75"/>
        <w:ind w:left="1656" w:right="812"/>
      </w:pPr>
      <w:r>
        <w:rPr/>
        <w:t>All Pacific Northwest NWS Offices provide daily fire weather phone briefings each morning during fire season. Local Fire weather users are encouraged to participate in these briefings. The forecaster hosting the briefing will verbally highlight current and forecast fire weather conditions with the help of weather graphics on an internet web page or through a GoToMeeting® webinar. Briefing times, conference call telephone numbers and passcodes can be obtained by contacting the local WFO. A link to the web briefings can be found on the local fire weather page.</w:t>
      </w:r>
    </w:p>
    <w:p>
      <w:pPr>
        <w:pStyle w:val="BodyText"/>
        <w:spacing w:before="9"/>
        <w:rPr>
          <w:sz w:val="23"/>
        </w:rPr>
      </w:pPr>
    </w:p>
    <w:p>
      <w:pPr>
        <w:pStyle w:val="Heading8"/>
        <w:numPr>
          <w:ilvl w:val="1"/>
          <w:numId w:val="1"/>
        </w:numPr>
        <w:tabs>
          <w:tab w:pos="1657" w:val="left" w:leader="none"/>
        </w:tabs>
        <w:spacing w:line="240" w:lineRule="auto" w:before="1" w:after="0"/>
        <w:ind w:left="1656" w:right="0" w:hanging="268"/>
        <w:jc w:val="left"/>
      </w:pPr>
      <w:bookmarkStart w:name="7. Forecast verification" w:id="22"/>
      <w:bookmarkEnd w:id="22"/>
      <w:r>
        <w:rPr>
          <w:b w:val="0"/>
        </w:rPr>
      </w:r>
      <w:bookmarkStart w:name="7. Forecast verification" w:id="23"/>
      <w:bookmarkEnd w:id="23"/>
      <w:r>
        <w:rPr>
          <w:u w:val="thick"/>
        </w:rPr>
        <w:t>F</w:t>
      </w:r>
      <w:r>
        <w:rPr>
          <w:u w:val="thick"/>
        </w:rPr>
        <w:t>orecast</w:t>
      </w:r>
      <w:r>
        <w:rPr>
          <w:spacing w:val="-14"/>
          <w:u w:val="thick"/>
        </w:rPr>
        <w:t> </w:t>
      </w:r>
      <w:r>
        <w:rPr>
          <w:u w:val="thick"/>
        </w:rPr>
        <w:t>verification</w:t>
      </w:r>
    </w:p>
    <w:p>
      <w:pPr>
        <w:pStyle w:val="BodyText"/>
        <w:ind w:left="1656" w:right="866"/>
      </w:pPr>
      <w:r>
        <w:rPr/>
        <w:t>Routine verification is made on Red Flag Warnings and NFDRS forecasts. Results of the verification will be published in the Fire Weather Annual Summary. Spot forecast turnaround time and other statistics are available from your local NWS office.</w:t>
      </w:r>
    </w:p>
    <w:p>
      <w:pPr>
        <w:pStyle w:val="BodyText"/>
      </w:pPr>
    </w:p>
    <w:p>
      <w:pPr>
        <w:pStyle w:val="Heading8"/>
        <w:numPr>
          <w:ilvl w:val="1"/>
          <w:numId w:val="1"/>
        </w:numPr>
        <w:tabs>
          <w:tab w:pos="1657" w:val="left" w:leader="none"/>
        </w:tabs>
        <w:spacing w:line="240" w:lineRule="auto" w:before="0" w:after="0"/>
        <w:ind w:left="1656" w:right="0" w:hanging="268"/>
        <w:jc w:val="left"/>
      </w:pPr>
      <w:bookmarkStart w:name="8. Incident Meteorologist services" w:id="24"/>
      <w:bookmarkEnd w:id="24"/>
      <w:r>
        <w:rPr>
          <w:b w:val="0"/>
        </w:rPr>
      </w:r>
      <w:bookmarkStart w:name="8. Incident Meteorologist services" w:id="25"/>
      <w:bookmarkEnd w:id="25"/>
      <w:r>
        <w:rPr>
          <w:u w:val="thick"/>
        </w:rPr>
        <w:t>I</w:t>
      </w:r>
      <w:r>
        <w:rPr>
          <w:u w:val="thick"/>
        </w:rPr>
        <w:t>ncident Meteorologist</w:t>
      </w:r>
      <w:r>
        <w:rPr>
          <w:spacing w:val="-12"/>
          <w:u w:val="thick"/>
        </w:rPr>
        <w:t> </w:t>
      </w:r>
      <w:r>
        <w:rPr>
          <w:u w:val="thick"/>
        </w:rPr>
        <w:t>services</w:t>
      </w:r>
    </w:p>
    <w:p>
      <w:pPr>
        <w:pStyle w:val="BodyText"/>
        <w:ind w:left="1656" w:right="854"/>
      </w:pPr>
      <w:r>
        <w:rPr/>
        <w:t>Each WFO in the Pacific Northwest has 2 or more Incident Meteorologists (IMETs) on staff available for wildfire, HAZMAT, Search and Rescue or other emergency dispatches. To request an IMET, contact the appropriate fire agency dispatch office.</w:t>
      </w:r>
    </w:p>
    <w:p>
      <w:pPr>
        <w:pStyle w:val="BodyText"/>
      </w:pPr>
    </w:p>
    <w:p>
      <w:pPr>
        <w:pStyle w:val="Heading8"/>
        <w:numPr>
          <w:ilvl w:val="1"/>
          <w:numId w:val="1"/>
        </w:numPr>
        <w:tabs>
          <w:tab w:pos="1657" w:val="left" w:leader="none"/>
        </w:tabs>
        <w:spacing w:line="240" w:lineRule="auto" w:before="0" w:after="0"/>
        <w:ind w:left="1656" w:right="0" w:hanging="268"/>
        <w:jc w:val="left"/>
      </w:pPr>
      <w:bookmarkStart w:name="9. Social media" w:id="26"/>
      <w:bookmarkEnd w:id="26"/>
      <w:r>
        <w:rPr>
          <w:b w:val="0"/>
        </w:rPr>
      </w:r>
      <w:bookmarkStart w:name="9. Social media" w:id="27"/>
      <w:bookmarkEnd w:id="27"/>
      <w:r>
        <w:rPr>
          <w:u w:val="thick"/>
        </w:rPr>
        <w:t>S</w:t>
      </w:r>
      <w:r>
        <w:rPr>
          <w:u w:val="thick"/>
        </w:rPr>
        <w:t>ocial</w:t>
      </w:r>
      <w:r>
        <w:rPr>
          <w:spacing w:val="-5"/>
          <w:u w:val="thick"/>
        </w:rPr>
        <w:t> </w:t>
      </w:r>
      <w:r>
        <w:rPr>
          <w:u w:val="thick"/>
        </w:rPr>
        <w:t>media</w:t>
      </w:r>
    </w:p>
    <w:p>
      <w:pPr>
        <w:pStyle w:val="BodyText"/>
        <w:ind w:left="1656" w:right="932"/>
      </w:pPr>
      <w:r>
        <w:rPr/>
        <w:t>Each NWS office in the Pacific Northwest has a Facebook page, Twitter account, and a YouTube channel. Current information about Fire Weather may be included in social media feeds as time allows, but such information is intended as supplemental information for the general public; NWS use of social media is not intended to meet the specialized needs of the wildland firefighting community.</w:t>
      </w:r>
    </w:p>
    <w:p>
      <w:pPr>
        <w:pStyle w:val="BodyText"/>
      </w:pPr>
    </w:p>
    <w:p>
      <w:pPr>
        <w:pStyle w:val="Heading8"/>
        <w:numPr>
          <w:ilvl w:val="1"/>
          <w:numId w:val="1"/>
        </w:numPr>
        <w:tabs>
          <w:tab w:pos="1792" w:val="left" w:leader="none"/>
        </w:tabs>
        <w:spacing w:line="240" w:lineRule="auto" w:before="0" w:after="0"/>
        <w:ind w:left="1791" w:right="0" w:hanging="403"/>
        <w:jc w:val="left"/>
      </w:pPr>
      <w:bookmarkStart w:name="10. Non-forecast services" w:id="28"/>
      <w:bookmarkEnd w:id="28"/>
      <w:r>
        <w:rPr>
          <w:b w:val="0"/>
        </w:rPr>
      </w:r>
      <w:bookmarkStart w:name="10. Non-forecast services" w:id="29"/>
      <w:bookmarkEnd w:id="29"/>
      <w:r>
        <w:rPr>
          <w:u w:val="thick"/>
        </w:rPr>
        <w:t>No</w:t>
      </w:r>
      <w:r>
        <w:rPr>
          <w:u w:val="thick"/>
        </w:rPr>
        <w:t>n-forecast</w:t>
      </w:r>
      <w:r>
        <w:rPr>
          <w:spacing w:val="-11"/>
          <w:u w:val="thick"/>
        </w:rPr>
        <w:t> </w:t>
      </w:r>
      <w:r>
        <w:rPr>
          <w:u w:val="thick"/>
        </w:rPr>
        <w:t>services</w:t>
      </w:r>
    </w:p>
    <w:p>
      <w:pPr>
        <w:pStyle w:val="BodyText"/>
        <w:ind w:left="1656" w:right="892"/>
      </w:pPr>
      <w:r>
        <w:rPr/>
        <w:t>Several duties fall into the non-forecast services including, but not limited to: teaching assignments, customer meetings, customer consultations, preparation of annual reports, preparation of annual operating plans, program management, research and in-house training of personnel. Experienced Fire Weather Forecasters will be available to help instruct the weather sections of standard fire behavior training courses offered by federal, state and local government fire agencies. These include S-190 through S-590 and other courses. In addition, a forecaster will be available for special speaking engagements and customer consultations. For scheduling purposes, requests for an instructor or speaker should be made at least three weeks in advance. Requests for NWS personnel to provide training should be accompanied by a separate reimbursement or advance of funds Agreement, if overnight travel is necessary. Every effort should be made to acquire invitational travel orders for the NWS resource, provided by the requesting Agency. Additional information can be found in the National Fire Weather Annual Operating Plan: </w:t>
      </w:r>
      <w:hyperlink r:id="rId21">
        <w:r>
          <w:rPr>
            <w:color w:val="0462C1"/>
            <w:u w:val="single" w:color="0462C1"/>
          </w:rPr>
          <w:t>http://www.weather.gov/fire </w:t>
        </w:r>
      </w:hyperlink>
      <w:r>
        <w:rPr/>
        <w:t>under the Admin tab, or in </w:t>
      </w:r>
      <w:hyperlink w:history="true" w:anchor="_bookmark21">
        <w:r>
          <w:rPr>
            <w:color w:val="0462C1"/>
            <w:u w:val="single" w:color="0462C1"/>
          </w:rPr>
          <w:t>Appendix C</w:t>
        </w:r>
      </w:hyperlink>
      <w:r>
        <w:rPr/>
        <w:t>.</w:t>
      </w:r>
    </w:p>
    <w:p>
      <w:pPr>
        <w:pStyle w:val="BodyText"/>
        <w:spacing w:before="10"/>
        <w:rPr>
          <w:sz w:val="23"/>
        </w:rPr>
      </w:pPr>
    </w:p>
    <w:p>
      <w:pPr>
        <w:pStyle w:val="Heading6"/>
        <w:spacing w:before="1"/>
        <w:ind w:left="1100"/>
      </w:pPr>
      <w:bookmarkStart w:name="WILDLAND FIRE AGENCY SERVICES AND RESPON" w:id="30"/>
      <w:bookmarkEnd w:id="30"/>
      <w:r>
        <w:rPr>
          <w:b w:val="0"/>
        </w:rPr>
      </w:r>
      <w:bookmarkStart w:name="_bookmark5" w:id="31"/>
      <w:bookmarkEnd w:id="31"/>
      <w:r>
        <w:rPr>
          <w:b w:val="0"/>
        </w:rPr>
      </w:r>
      <w:r>
        <w:rPr/>
        <w:t>WILDLAND FIRE AGENCY SERVICES AND RESPONSIBILITIES</w:t>
      </w:r>
    </w:p>
    <w:p>
      <w:pPr>
        <w:spacing w:after="0"/>
        <w:sectPr>
          <w:pgSz w:w="12240" w:h="15840"/>
          <w:pgMar w:header="0" w:footer="968" w:top="1360" w:bottom="1240" w:left="340" w:right="620"/>
        </w:sectPr>
      </w:pPr>
    </w:p>
    <w:p>
      <w:pPr>
        <w:pStyle w:val="BodyText"/>
        <w:spacing w:before="4"/>
        <w:rPr>
          <w:b/>
          <w:sz w:val="14"/>
        </w:rPr>
      </w:pPr>
    </w:p>
    <w:p>
      <w:pPr>
        <w:pStyle w:val="BodyText"/>
        <w:spacing w:before="92"/>
        <w:ind w:left="1100" w:right="1315"/>
      </w:pPr>
      <w:r>
        <w:rPr/>
        <w:t>Provide coordination and recommendations for interagency fire weather activities in Oregon and Washington through the PNWCG. Continually review standards of performance for applicability and adequacy.</w:t>
      </w:r>
    </w:p>
    <w:p>
      <w:pPr>
        <w:pStyle w:val="BodyText"/>
        <w:spacing w:before="9"/>
        <w:rPr>
          <w:sz w:val="23"/>
        </w:rPr>
      </w:pPr>
    </w:p>
    <w:p>
      <w:pPr>
        <w:pStyle w:val="BodyText"/>
        <w:ind w:left="1100" w:right="1261"/>
      </w:pPr>
      <w:r>
        <w:rPr/>
        <w:t>Provide weather observations seven days a week during fire season and coordinate and cooperate with the NWS in fire weather forecasting. The agencies will seek the advice and counsel of the NWS regarding observational issues (e.g. moving remote automatic weather stations).</w:t>
      </w:r>
    </w:p>
    <w:p>
      <w:pPr>
        <w:pStyle w:val="BodyText"/>
      </w:pPr>
    </w:p>
    <w:p>
      <w:pPr>
        <w:pStyle w:val="BodyText"/>
        <w:ind w:left="1100" w:right="1048"/>
      </w:pPr>
      <w:r>
        <w:rPr/>
        <w:t>Recognize that other severe weather emergencies may require the services of the fire weather forecaster to assist in WFO operations.</w:t>
      </w:r>
    </w:p>
    <w:p>
      <w:pPr>
        <w:pStyle w:val="BodyText"/>
      </w:pPr>
    </w:p>
    <w:p>
      <w:pPr>
        <w:pStyle w:val="Heading8"/>
        <w:numPr>
          <w:ilvl w:val="0"/>
          <w:numId w:val="2"/>
        </w:numPr>
        <w:tabs>
          <w:tab w:pos="1369" w:val="left" w:leader="none"/>
        </w:tabs>
        <w:spacing w:line="240" w:lineRule="auto" w:before="0" w:after="0"/>
        <w:ind w:left="1368" w:right="0" w:hanging="268"/>
        <w:jc w:val="left"/>
      </w:pPr>
      <w:bookmarkStart w:name="1. User agency responsibilities:" w:id="32"/>
      <w:bookmarkEnd w:id="32"/>
      <w:r>
        <w:rPr>
          <w:b w:val="0"/>
        </w:rPr>
      </w:r>
      <w:bookmarkStart w:name="1. User agency responsibilities:" w:id="33"/>
      <w:bookmarkEnd w:id="33"/>
      <w:r>
        <w:rPr>
          <w:u w:val="thick"/>
        </w:rPr>
        <w:t>U</w:t>
      </w:r>
      <w:r>
        <w:rPr>
          <w:u w:val="thick"/>
        </w:rPr>
        <w:t>ser agency</w:t>
      </w:r>
      <w:r>
        <w:rPr>
          <w:spacing w:val="-17"/>
          <w:u w:val="thick"/>
        </w:rPr>
        <w:t> </w:t>
      </w:r>
      <w:r>
        <w:rPr>
          <w:u w:val="thick"/>
        </w:rPr>
        <w:t>responsibilities:</w:t>
      </w:r>
    </w:p>
    <w:p>
      <w:pPr>
        <w:pStyle w:val="BodyText"/>
        <w:ind w:left="1366"/>
      </w:pPr>
      <w:r>
        <w:rPr/>
        <w:t>There are several responsibilities of the user agencies including:</w:t>
      </w:r>
    </w:p>
    <w:p>
      <w:pPr>
        <w:pStyle w:val="BodyText"/>
      </w:pPr>
    </w:p>
    <w:p>
      <w:pPr>
        <w:pStyle w:val="ListParagraph"/>
        <w:numPr>
          <w:ilvl w:val="1"/>
          <w:numId w:val="2"/>
        </w:numPr>
        <w:tabs>
          <w:tab w:pos="1540" w:val="left" w:leader="none"/>
        </w:tabs>
        <w:spacing w:line="240" w:lineRule="auto" w:before="0" w:after="0"/>
        <w:ind w:left="1539" w:right="0" w:hanging="151"/>
        <w:jc w:val="left"/>
        <w:rPr>
          <w:sz w:val="24"/>
        </w:rPr>
      </w:pPr>
      <w:r>
        <w:rPr>
          <w:sz w:val="24"/>
        </w:rPr>
        <w:t>Entering of 1300 LST NFDRS observations in</w:t>
      </w:r>
      <w:r>
        <w:rPr>
          <w:spacing w:val="-20"/>
          <w:sz w:val="24"/>
        </w:rPr>
        <w:t> </w:t>
      </w:r>
      <w:r>
        <w:rPr>
          <w:sz w:val="24"/>
        </w:rPr>
        <w:t>WIMS</w:t>
      </w:r>
    </w:p>
    <w:p>
      <w:pPr>
        <w:pStyle w:val="ListParagraph"/>
        <w:numPr>
          <w:ilvl w:val="1"/>
          <w:numId w:val="2"/>
        </w:numPr>
        <w:tabs>
          <w:tab w:pos="1540" w:val="left" w:leader="none"/>
        </w:tabs>
        <w:spacing w:line="240" w:lineRule="auto" w:before="0" w:after="0"/>
        <w:ind w:left="1539" w:right="0" w:hanging="151"/>
        <w:jc w:val="left"/>
        <w:rPr>
          <w:sz w:val="24"/>
        </w:rPr>
      </w:pPr>
      <w:r>
        <w:rPr>
          <w:sz w:val="24"/>
        </w:rPr>
        <w:t>Site observations for Spot Forecast</w:t>
      </w:r>
      <w:r>
        <w:rPr>
          <w:spacing w:val="-19"/>
          <w:sz w:val="24"/>
        </w:rPr>
        <w:t> </w:t>
      </w:r>
      <w:r>
        <w:rPr>
          <w:sz w:val="24"/>
        </w:rPr>
        <w:t>requests</w:t>
      </w:r>
    </w:p>
    <w:p>
      <w:pPr>
        <w:pStyle w:val="ListParagraph"/>
        <w:numPr>
          <w:ilvl w:val="1"/>
          <w:numId w:val="2"/>
        </w:numPr>
        <w:tabs>
          <w:tab w:pos="1540" w:val="left" w:leader="none"/>
        </w:tabs>
        <w:spacing w:line="240" w:lineRule="auto" w:before="0" w:after="0"/>
        <w:ind w:left="1539" w:right="0" w:hanging="151"/>
        <w:jc w:val="left"/>
        <w:rPr>
          <w:sz w:val="24"/>
        </w:rPr>
      </w:pPr>
      <w:r>
        <w:rPr>
          <w:sz w:val="24"/>
        </w:rPr>
        <w:t>Quality Control of RAWS</w:t>
      </w:r>
      <w:r>
        <w:rPr>
          <w:spacing w:val="-20"/>
          <w:sz w:val="24"/>
        </w:rPr>
        <w:t> </w:t>
      </w:r>
      <w:r>
        <w:rPr>
          <w:sz w:val="24"/>
        </w:rPr>
        <w:t>observations</w:t>
      </w:r>
    </w:p>
    <w:p>
      <w:pPr>
        <w:pStyle w:val="ListParagraph"/>
        <w:numPr>
          <w:ilvl w:val="1"/>
          <w:numId w:val="2"/>
        </w:numPr>
        <w:tabs>
          <w:tab w:pos="1540" w:val="left" w:leader="none"/>
        </w:tabs>
        <w:spacing w:line="240" w:lineRule="auto" w:before="1" w:after="0"/>
        <w:ind w:left="1539" w:right="0" w:hanging="151"/>
        <w:jc w:val="left"/>
        <w:rPr>
          <w:sz w:val="24"/>
        </w:rPr>
      </w:pPr>
      <w:r>
        <w:rPr>
          <w:sz w:val="24"/>
        </w:rPr>
        <w:t>Timely maintenance of RAWS</w:t>
      </w:r>
      <w:r>
        <w:rPr>
          <w:spacing w:val="-17"/>
          <w:sz w:val="24"/>
        </w:rPr>
        <w:t> </w:t>
      </w:r>
      <w:r>
        <w:rPr>
          <w:sz w:val="24"/>
        </w:rPr>
        <w:t>sites</w:t>
      </w:r>
    </w:p>
    <w:p>
      <w:pPr>
        <w:pStyle w:val="BodyText"/>
        <w:spacing w:before="9"/>
        <w:rPr>
          <w:sz w:val="23"/>
        </w:rPr>
      </w:pPr>
    </w:p>
    <w:p>
      <w:pPr>
        <w:pStyle w:val="Heading6"/>
        <w:spacing w:before="1"/>
        <w:ind w:left="1100"/>
      </w:pPr>
      <w:bookmarkStart w:name="JOINT RESPONSIBILITIES" w:id="34"/>
      <w:bookmarkEnd w:id="34"/>
      <w:r>
        <w:rPr>
          <w:b w:val="0"/>
        </w:rPr>
      </w:r>
      <w:bookmarkStart w:name="_bookmark6" w:id="35"/>
      <w:bookmarkEnd w:id="35"/>
      <w:r>
        <w:rPr>
          <w:b w:val="0"/>
        </w:rPr>
      </w:r>
      <w:r>
        <w:rPr/>
        <w:t>JOINT RESPONSIBILITIES</w:t>
      </w:r>
    </w:p>
    <w:p>
      <w:pPr>
        <w:pStyle w:val="BodyText"/>
        <w:spacing w:before="6"/>
        <w:rPr>
          <w:b/>
          <w:sz w:val="25"/>
        </w:rPr>
      </w:pPr>
    </w:p>
    <w:p>
      <w:pPr>
        <w:pStyle w:val="BodyText"/>
        <w:ind w:left="1100" w:right="902"/>
      </w:pPr>
      <w:r>
        <w:rPr/>
        <w:t>Work cooperatively as partners to maintain and improve fire weather services to assure full compliance with mutually established performance, reliability, priority, and time standards.</w:t>
      </w:r>
    </w:p>
    <w:p>
      <w:pPr>
        <w:pStyle w:val="BodyText"/>
        <w:spacing w:before="9"/>
        <w:rPr>
          <w:sz w:val="23"/>
        </w:rPr>
      </w:pPr>
    </w:p>
    <w:p>
      <w:pPr>
        <w:pStyle w:val="BodyText"/>
        <w:ind w:left="1100" w:right="834"/>
      </w:pPr>
      <w:r>
        <w:rPr/>
        <w:t>Recognize that lands for which the States are responsible for wildland fire protection in Oregon and Washington, and the lands for which the respective Federal Agencies are responsible, are intermingled or adjacent in some areas, and wildland fires on these intermingled or adjacent lands may present a threat to the lands of the other. Recognize the primary role of the States in administering smoke management plans in their respective states.</w:t>
      </w:r>
    </w:p>
    <w:p>
      <w:pPr>
        <w:pStyle w:val="BodyText"/>
      </w:pPr>
    </w:p>
    <w:p>
      <w:pPr>
        <w:pStyle w:val="BodyText"/>
        <w:ind w:left="1100" w:right="875"/>
      </w:pPr>
      <w:r>
        <w:rPr/>
        <w:t>Prepare an Annual Operating Plan (AOP – this document) that includes each WFO with fire weather areas of responsibility in Oregon and Washington as required in the National Fire Weather Agreement and fire and smoke management responsibilities (as appropriate) of DNR, ODF and NWCC Predictive Services. Fire weather zone and Predictive Service Area maps will be included in the AOP. The AOP will meet the guidelines specified in </w:t>
      </w:r>
      <w:hyperlink r:id="rId22">
        <w:r>
          <w:rPr>
            <w:color w:val="0462C1"/>
            <w:u w:val="single" w:color="0462C1"/>
          </w:rPr>
          <w:t>NWSI 10- 404</w:t>
        </w:r>
      </w:hyperlink>
      <w:r>
        <w:rPr/>
        <w:t>.</w:t>
      </w:r>
    </w:p>
    <w:p>
      <w:pPr>
        <w:pStyle w:val="BodyText"/>
        <w:spacing w:before="3"/>
        <w:rPr>
          <w:sz w:val="16"/>
        </w:rPr>
      </w:pPr>
    </w:p>
    <w:p>
      <w:pPr>
        <w:pStyle w:val="BodyText"/>
        <w:spacing w:before="92"/>
        <w:ind w:left="1100" w:right="865"/>
      </w:pPr>
      <w:r>
        <w:rPr/>
        <w:t>Annually</w:t>
      </w:r>
      <w:r>
        <w:rPr>
          <w:spacing w:val="-5"/>
        </w:rPr>
        <w:t> </w:t>
      </w:r>
      <w:r>
        <w:rPr/>
        <w:t>review</w:t>
      </w:r>
      <w:r>
        <w:rPr>
          <w:spacing w:val="-6"/>
        </w:rPr>
        <w:t> </w:t>
      </w:r>
      <w:r>
        <w:rPr/>
        <w:t>the</w:t>
      </w:r>
      <w:r>
        <w:rPr>
          <w:spacing w:val="-2"/>
        </w:rPr>
        <w:t> </w:t>
      </w:r>
      <w:r>
        <w:rPr/>
        <w:t>performance</w:t>
      </w:r>
      <w:r>
        <w:rPr>
          <w:spacing w:val="-2"/>
        </w:rPr>
        <w:t> </w:t>
      </w:r>
      <w:r>
        <w:rPr/>
        <w:t>of</w:t>
      </w:r>
      <w:r>
        <w:rPr>
          <w:spacing w:val="-2"/>
        </w:rPr>
        <w:t> </w:t>
      </w:r>
      <w:r>
        <w:rPr/>
        <w:t>the</w:t>
      </w:r>
      <w:r>
        <w:rPr>
          <w:spacing w:val="-2"/>
        </w:rPr>
        <w:t> </w:t>
      </w:r>
      <w:r>
        <w:rPr/>
        <w:t>NWS</w:t>
      </w:r>
      <w:r>
        <w:rPr>
          <w:spacing w:val="-7"/>
        </w:rPr>
        <w:t> </w:t>
      </w:r>
      <w:r>
        <w:rPr/>
        <w:t>and</w:t>
      </w:r>
      <w:r>
        <w:rPr>
          <w:spacing w:val="-2"/>
        </w:rPr>
        <w:t> </w:t>
      </w:r>
      <w:r>
        <w:rPr/>
        <w:t>NWCC</w:t>
      </w:r>
      <w:r>
        <w:rPr>
          <w:spacing w:val="-6"/>
        </w:rPr>
        <w:t> </w:t>
      </w:r>
      <w:r>
        <w:rPr/>
        <w:t>Predictive</w:t>
      </w:r>
      <w:r>
        <w:rPr>
          <w:spacing w:val="-4"/>
        </w:rPr>
        <w:t> </w:t>
      </w:r>
      <w:r>
        <w:rPr/>
        <w:t>Services</w:t>
      </w:r>
      <w:r>
        <w:rPr>
          <w:spacing w:val="-3"/>
        </w:rPr>
        <w:t> </w:t>
      </w:r>
      <w:r>
        <w:rPr/>
        <w:t>in</w:t>
      </w:r>
      <w:r>
        <w:rPr>
          <w:spacing w:val="-37"/>
        </w:rPr>
        <w:t> </w:t>
      </w:r>
      <w:r>
        <w:rPr/>
        <w:t>meeting the needs of the fire management community. This review will be used to help determine what program adjustments are needed and appropriate. PNWCG directed subject matter experts (SMEs) and the NWS MICs from Boise, Medford, Pendleton, Portland,</w:t>
      </w:r>
      <w:r>
        <w:rPr>
          <w:spacing w:val="-3"/>
        </w:rPr>
        <w:t> </w:t>
      </w:r>
      <w:r>
        <w:rPr/>
        <w:t>Seattle</w:t>
      </w:r>
      <w:r>
        <w:rPr>
          <w:spacing w:val="-3"/>
        </w:rPr>
        <w:t> </w:t>
      </w:r>
      <w:r>
        <w:rPr/>
        <w:t>and</w:t>
      </w:r>
      <w:r>
        <w:rPr>
          <w:spacing w:val="-5"/>
        </w:rPr>
        <w:t> </w:t>
      </w:r>
      <w:r>
        <w:rPr/>
        <w:t>Spokane</w:t>
      </w:r>
      <w:r>
        <w:rPr>
          <w:spacing w:val="-3"/>
        </w:rPr>
        <w:t> </w:t>
      </w:r>
      <w:r>
        <w:rPr/>
        <w:t>shall</w:t>
      </w:r>
      <w:r>
        <w:rPr>
          <w:spacing w:val="-4"/>
        </w:rPr>
        <w:t> </w:t>
      </w:r>
      <w:r>
        <w:rPr/>
        <w:t>conduct</w:t>
      </w:r>
      <w:r>
        <w:rPr>
          <w:spacing w:val="-6"/>
        </w:rPr>
        <w:t> </w:t>
      </w:r>
      <w:r>
        <w:rPr/>
        <w:t>the</w:t>
      </w:r>
      <w:r>
        <w:rPr>
          <w:spacing w:val="-3"/>
        </w:rPr>
        <w:t> </w:t>
      </w:r>
      <w:r>
        <w:rPr/>
        <w:t>review.</w:t>
      </w:r>
      <w:r>
        <w:rPr>
          <w:spacing w:val="-3"/>
        </w:rPr>
        <w:t> </w:t>
      </w:r>
      <w:r>
        <w:rPr/>
        <w:t>NWCC</w:t>
      </w:r>
      <w:r>
        <w:rPr>
          <w:spacing w:val="-4"/>
        </w:rPr>
        <w:t> </w:t>
      </w:r>
      <w:r>
        <w:rPr/>
        <w:t>Predictive</w:t>
      </w:r>
      <w:r>
        <w:rPr>
          <w:spacing w:val="-3"/>
        </w:rPr>
        <w:t> </w:t>
      </w:r>
      <w:r>
        <w:rPr/>
        <w:t>Service,</w:t>
      </w:r>
      <w:r>
        <w:rPr>
          <w:spacing w:val="-42"/>
        </w:rPr>
        <w:t> </w:t>
      </w:r>
      <w:r>
        <w:rPr/>
        <w:t>the</w:t>
      </w:r>
    </w:p>
    <w:p>
      <w:pPr>
        <w:spacing w:after="0"/>
        <w:sectPr>
          <w:pgSz w:w="12240" w:h="15840"/>
          <w:pgMar w:header="0" w:footer="968" w:top="1500" w:bottom="1240" w:left="340" w:right="620"/>
        </w:sectPr>
      </w:pPr>
    </w:p>
    <w:p>
      <w:pPr>
        <w:pStyle w:val="BodyText"/>
        <w:spacing w:before="75"/>
        <w:ind w:left="1100" w:right="836"/>
      </w:pPr>
      <w:r>
        <w:rPr/>
        <w:t>NWS, PNWCG SMEs and any interested members of the fire community shall meet annually around February. The meeting will evaluate the past season fire weather services and recommend changes for the next fire season. Proposed changes in fire weather services for the upcoming fire weather season will be discussed and if agreed upon reflected in the AOP. AOP sections from individual offices are expected to be finalized no later than April 1st (drafts are requested the February meeting) so that the compiled Pacific Northwest AOP can be submitted to the PNWCG and NWS signatories for final approval. Changes after April 1st should, if at all possible, be held off until after fire season. If extenuating circumstances require significant additional changes to be made for the current fire season, the AOP will need to be reapproved by the signing officials.</w:t>
      </w:r>
    </w:p>
    <w:p>
      <w:pPr>
        <w:pStyle w:val="BodyText"/>
        <w:spacing w:before="10"/>
        <w:rPr>
          <w:sz w:val="23"/>
        </w:rPr>
      </w:pPr>
    </w:p>
    <w:p>
      <w:pPr>
        <w:pStyle w:val="BodyText"/>
        <w:ind w:left="1100" w:right="989"/>
      </w:pPr>
      <w:r>
        <w:rPr/>
        <w:t>Respond to the other party's proposals within thirty (30) days, or advise the other party when the proposal will be addressed if the NWS or the PNWCG are unable to meet or discuss the proposal within their respective groups in that time frame. Except when necessary to meet emergency needs, significant proposals are expected to be discussed at the annual meetings.</w:t>
      </w:r>
    </w:p>
    <w:p>
      <w:pPr>
        <w:pStyle w:val="BodyText"/>
      </w:pPr>
    </w:p>
    <w:p>
      <w:pPr>
        <w:pStyle w:val="BodyText"/>
        <w:ind w:left="1099" w:right="1155"/>
      </w:pPr>
      <w:r>
        <w:rPr/>
        <w:t>Cooperate and coordinate plans for the weather-related training of fire personnel and fire weather forecasters to ensure that training needs are met.</w:t>
      </w:r>
    </w:p>
    <w:p>
      <w:pPr>
        <w:pStyle w:val="BodyText"/>
        <w:spacing w:before="9"/>
        <w:rPr>
          <w:sz w:val="23"/>
        </w:rPr>
      </w:pPr>
    </w:p>
    <w:p>
      <w:pPr>
        <w:pStyle w:val="BodyText"/>
        <w:ind w:left="1100"/>
      </w:pPr>
      <w:r>
        <w:rPr/>
        <w:t>Collaborate in fire weather research and development.</w:t>
      </w:r>
    </w:p>
    <w:p>
      <w:pPr>
        <w:spacing w:after="0"/>
        <w:sectPr>
          <w:pgSz w:w="12240" w:h="15840"/>
          <w:pgMar w:header="0" w:footer="968" w:top="1360" w:bottom="1240" w:left="340" w:right="620"/>
        </w:sectPr>
      </w:pPr>
    </w:p>
    <w:p>
      <w:pPr>
        <w:pStyle w:val="Heading1"/>
        <w:ind w:right="5645"/>
      </w:pPr>
      <w:bookmarkStart w:name="Chapter 2 Operating Plans" w:id="36"/>
      <w:bookmarkEnd w:id="36"/>
      <w:r>
        <w:rPr>
          <w:b w:val="0"/>
        </w:rPr>
      </w:r>
      <w:bookmarkStart w:name="_bookmark7" w:id="37"/>
      <w:bookmarkEnd w:id="37"/>
      <w:r>
        <w:rPr>
          <w:b w:val="0"/>
        </w:rPr>
      </w:r>
      <w:r>
        <w:rPr>
          <w:color w:val="2C3D50"/>
        </w:rPr>
        <w:t>Chapter 2 Operating Plans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5"/>
        </w:rPr>
      </w:pPr>
      <w:r>
        <w:rPr/>
        <w:drawing>
          <wp:anchor distT="0" distB="0" distL="0" distR="0" allowOverlap="1" layoutInCell="1" locked="0" behindDoc="0" simplePos="0" relativeHeight="1048">
            <wp:simplePos x="0" y="0"/>
            <wp:positionH relativeFrom="page">
              <wp:posOffset>914400</wp:posOffset>
            </wp:positionH>
            <wp:positionV relativeFrom="paragraph">
              <wp:posOffset>207776</wp:posOffset>
            </wp:positionV>
            <wp:extent cx="6088560" cy="4297680"/>
            <wp:effectExtent l="0" t="0" r="0" b="0"/>
            <wp:wrapTopAndBottom/>
            <wp:docPr id="3" name="image7.jpeg" descr=""/>
            <wp:cNvGraphicFramePr>
              <a:graphicFrameLocks noChangeAspect="1"/>
            </wp:cNvGraphicFramePr>
            <a:graphic>
              <a:graphicData uri="http://schemas.openxmlformats.org/drawingml/2006/picture">
                <pic:pic>
                  <pic:nvPicPr>
                    <pic:cNvPr id="4" name="image7.jpeg"/>
                    <pic:cNvPicPr/>
                  </pic:nvPicPr>
                  <pic:blipFill>
                    <a:blip r:embed="rId23" cstate="print"/>
                    <a:stretch>
                      <a:fillRect/>
                    </a:stretch>
                  </pic:blipFill>
                  <pic:spPr>
                    <a:xfrm>
                      <a:off x="0" y="0"/>
                      <a:ext cx="6088560" cy="4297680"/>
                    </a:xfrm>
                    <a:prstGeom prst="rect">
                      <a:avLst/>
                    </a:prstGeom>
                  </pic:spPr>
                </pic:pic>
              </a:graphicData>
            </a:graphic>
          </wp:anchor>
        </w:drawing>
      </w:r>
    </w:p>
    <w:p>
      <w:pPr>
        <w:spacing w:before="174"/>
        <w:ind w:left="1522" w:right="0" w:firstLine="0"/>
        <w:jc w:val="left"/>
        <w:rPr>
          <w:b/>
          <w:sz w:val="20"/>
        </w:rPr>
      </w:pPr>
      <w:r>
        <w:rPr>
          <w:b/>
          <w:sz w:val="20"/>
        </w:rPr>
        <w:t>The Hayes Fire as seen from Hurricane Ridge during an east wind event. August 24, 2016.</w:t>
      </w:r>
    </w:p>
    <w:p>
      <w:pPr>
        <w:spacing w:after="0"/>
        <w:jc w:val="left"/>
        <w:rPr>
          <w:sz w:val="20"/>
        </w:rPr>
        <w:sectPr>
          <w:pgSz w:w="12240" w:h="15840"/>
          <w:pgMar w:header="0" w:footer="968" w:top="1380" w:bottom="1240" w:left="340" w:right="620"/>
        </w:sectPr>
      </w:pPr>
    </w:p>
    <w:p>
      <w:pPr>
        <w:pStyle w:val="BodyText"/>
        <w:rPr>
          <w:b/>
          <w:sz w:val="20"/>
        </w:rPr>
      </w:pPr>
    </w:p>
    <w:p>
      <w:pPr>
        <w:pStyle w:val="Heading3"/>
        <w:spacing w:before="259"/>
        <w:ind w:firstLine="0"/>
        <w:rPr>
          <w:u w:val="none"/>
        </w:rPr>
      </w:pPr>
      <w:r>
        <w:rPr/>
        <w:drawing>
          <wp:anchor distT="0" distB="0" distL="0" distR="0" allowOverlap="1" layoutInCell="1" locked="0" behindDoc="0" simplePos="0" relativeHeight="1072">
            <wp:simplePos x="0" y="0"/>
            <wp:positionH relativeFrom="page">
              <wp:posOffset>914597</wp:posOffset>
            </wp:positionH>
            <wp:positionV relativeFrom="paragraph">
              <wp:posOffset>-150284</wp:posOffset>
            </wp:positionV>
            <wp:extent cx="1029738" cy="1296110"/>
            <wp:effectExtent l="0" t="0" r="0" b="0"/>
            <wp:wrapNone/>
            <wp:docPr id="5" name="image8.jpeg" descr=""/>
            <wp:cNvGraphicFramePr>
              <a:graphicFrameLocks noChangeAspect="1"/>
            </wp:cNvGraphicFramePr>
            <a:graphic>
              <a:graphicData uri="http://schemas.openxmlformats.org/drawingml/2006/picture">
                <pic:pic>
                  <pic:nvPicPr>
                    <pic:cNvPr id="6" name="image8.jpeg"/>
                    <pic:cNvPicPr/>
                  </pic:nvPicPr>
                  <pic:blipFill>
                    <a:blip r:embed="rId25" cstate="print"/>
                    <a:stretch>
                      <a:fillRect/>
                    </a:stretch>
                  </pic:blipFill>
                  <pic:spPr>
                    <a:xfrm>
                      <a:off x="0" y="0"/>
                      <a:ext cx="1029738" cy="1296110"/>
                    </a:xfrm>
                    <a:prstGeom prst="rect">
                      <a:avLst/>
                    </a:prstGeom>
                  </pic:spPr>
                </pic:pic>
              </a:graphicData>
            </a:graphic>
          </wp:anchor>
        </w:drawing>
      </w:r>
      <w:bookmarkStart w:name="NWCC PREDICTIVE SERVICES" w:id="38"/>
      <w:bookmarkEnd w:id="38"/>
      <w:r>
        <w:rPr>
          <w:b w:val="0"/>
          <w:u w:val="none"/>
        </w:rPr>
      </w:r>
      <w:bookmarkStart w:name="_bookmark8" w:id="39"/>
      <w:bookmarkEnd w:id="39"/>
      <w:r>
        <w:rPr>
          <w:b w:val="0"/>
          <w:u w:val="none"/>
        </w:rPr>
      </w:r>
      <w:r>
        <w:rPr>
          <w:u w:val="thick"/>
        </w:rPr>
        <w:t>NWCC PREDICTIVE SERVICES</w:t>
      </w:r>
    </w:p>
    <w:p>
      <w:pPr>
        <w:pStyle w:val="BodyText"/>
        <w:rPr>
          <w:b/>
          <w:sz w:val="54"/>
        </w:rPr>
      </w:pPr>
    </w:p>
    <w:p>
      <w:pPr>
        <w:pStyle w:val="BodyText"/>
        <w:spacing w:before="4"/>
        <w:rPr>
          <w:b/>
          <w:sz w:val="57"/>
        </w:rPr>
      </w:pPr>
    </w:p>
    <w:p>
      <w:pPr>
        <w:pStyle w:val="Heading5"/>
        <w:ind w:left="999"/>
        <w:rPr>
          <w:u w:val="none"/>
        </w:rPr>
      </w:pPr>
      <w:r>
        <w:rPr>
          <w:u w:val="thick"/>
        </w:rPr>
        <w:t>Predictive Services Mission</w:t>
      </w:r>
    </w:p>
    <w:p>
      <w:pPr>
        <w:pStyle w:val="BodyText"/>
        <w:spacing w:before="2"/>
        <w:rPr>
          <w:b/>
          <w:sz w:val="16"/>
        </w:rPr>
      </w:pPr>
    </w:p>
    <w:p>
      <w:pPr>
        <w:pStyle w:val="BodyText"/>
        <w:spacing w:before="92"/>
        <w:ind w:left="999" w:right="949"/>
      </w:pPr>
      <w:r>
        <w:rPr/>
        <w:t>The Predictive Services Program supports the wildland fire community and incident coordination system with decision support information. This typically includes a synthesis of fire danger, fire weather, fire intelligence, and fire management resource information. Information generated by NWCC typically revolves around decision support information for determining regional preparedness level and distribution of fire management resources.</w:t>
      </w:r>
    </w:p>
    <w:p>
      <w:pPr>
        <w:pStyle w:val="BodyText"/>
        <w:rPr>
          <w:sz w:val="26"/>
        </w:rPr>
      </w:pPr>
    </w:p>
    <w:p>
      <w:pPr>
        <w:pStyle w:val="BodyText"/>
        <w:spacing w:before="11"/>
        <w:rPr>
          <w:sz w:val="21"/>
        </w:rPr>
      </w:pPr>
    </w:p>
    <w:p>
      <w:pPr>
        <w:pStyle w:val="Heading5"/>
        <w:ind w:left="999"/>
        <w:rPr>
          <w:u w:val="none"/>
        </w:rPr>
      </w:pPr>
      <w:r>
        <w:rPr>
          <w:u w:val="thick"/>
        </w:rPr>
        <w:t>Predictive Services Goals and Responsibilities</w:t>
      </w:r>
    </w:p>
    <w:p>
      <w:pPr>
        <w:pStyle w:val="BodyText"/>
        <w:rPr>
          <w:b/>
          <w:sz w:val="16"/>
        </w:rPr>
      </w:pPr>
    </w:p>
    <w:p>
      <w:pPr>
        <w:pStyle w:val="BodyText"/>
        <w:spacing w:before="92"/>
        <w:ind w:left="999" w:right="993"/>
      </w:pPr>
      <w:r>
        <w:rPr/>
        <w:t>Predictive Services provides decision support and tools which enable proactive, safe and cost effective fire management. Predictive services actively partners with state and federal wildland fire agencies, cooperating agencies, research, academia, and the private sector to ensure the relevance of predictive services’ products and program.</w:t>
      </w:r>
    </w:p>
    <w:p>
      <w:pPr>
        <w:pStyle w:val="BodyText"/>
        <w:spacing w:before="10"/>
        <w:rPr>
          <w:sz w:val="31"/>
        </w:rPr>
      </w:pPr>
    </w:p>
    <w:p>
      <w:pPr>
        <w:pStyle w:val="Heading5"/>
        <w:ind w:left="999"/>
        <w:rPr>
          <w:u w:val="none"/>
        </w:rPr>
      </w:pPr>
      <w:r>
        <w:rPr>
          <w:u w:val="thick"/>
        </w:rPr>
        <w:t>LOCATION</w:t>
      </w:r>
    </w:p>
    <w:p>
      <w:pPr>
        <w:pStyle w:val="BodyText"/>
        <w:spacing w:before="2"/>
        <w:rPr>
          <w:b/>
          <w:sz w:val="16"/>
        </w:rPr>
      </w:pPr>
    </w:p>
    <w:p>
      <w:pPr>
        <w:pStyle w:val="BodyText"/>
        <w:spacing w:before="93"/>
        <w:ind w:left="999" w:right="5645"/>
      </w:pPr>
      <w:r>
        <w:rPr/>
        <w:t>Northwest Interagency Coordination Center 150 SW Harrison St. Suite 400</w:t>
      </w:r>
    </w:p>
    <w:p>
      <w:pPr>
        <w:pStyle w:val="BodyText"/>
        <w:spacing w:line="274" w:lineRule="exact"/>
        <w:ind w:left="999"/>
      </w:pPr>
      <w:r>
        <w:rPr/>
        <w:t>Portland, OR 97201</w:t>
      </w:r>
    </w:p>
    <w:p>
      <w:pPr>
        <w:pStyle w:val="BodyText"/>
        <w:spacing w:before="10"/>
        <w:rPr>
          <w:sz w:val="23"/>
        </w:rPr>
      </w:pPr>
    </w:p>
    <w:p>
      <w:pPr>
        <w:pStyle w:val="Heading5"/>
        <w:ind w:left="999"/>
        <w:rPr>
          <w:u w:val="none"/>
        </w:rPr>
      </w:pPr>
      <w:r>
        <w:rPr>
          <w:u w:val="thick"/>
        </w:rPr>
        <w:t>OPERATING HOURS</w:t>
      </w:r>
    </w:p>
    <w:p>
      <w:pPr>
        <w:pStyle w:val="BodyText"/>
        <w:spacing w:before="2"/>
        <w:rPr>
          <w:b/>
          <w:sz w:val="16"/>
        </w:rPr>
      </w:pPr>
    </w:p>
    <w:p>
      <w:pPr>
        <w:pStyle w:val="Heading8"/>
        <w:spacing w:before="93"/>
        <w:ind w:left="1719"/>
      </w:pPr>
      <w:r>
        <w:rPr/>
        <w:t>FIRE SEASON (June through early October)</w:t>
      </w:r>
    </w:p>
    <w:p>
      <w:pPr>
        <w:pStyle w:val="BodyText"/>
        <w:tabs>
          <w:tab w:pos="3879" w:val="left" w:leader="none"/>
        </w:tabs>
        <w:ind w:left="1719"/>
      </w:pPr>
      <w:r>
        <w:rPr/>
        <w:t>0700-1700</w:t>
      </w:r>
      <w:r>
        <w:rPr>
          <w:spacing w:val="-2"/>
        </w:rPr>
        <w:t> </w:t>
      </w:r>
      <w:r>
        <w:rPr/>
        <w:t>PDT</w:t>
        <w:tab/>
        <w:t>7 days a</w:t>
      </w:r>
      <w:r>
        <w:rPr>
          <w:spacing w:val="0"/>
        </w:rPr>
        <w:t> </w:t>
      </w:r>
      <w:r>
        <w:rPr/>
        <w:t>week</w:t>
      </w:r>
    </w:p>
    <w:p>
      <w:pPr>
        <w:pStyle w:val="BodyText"/>
      </w:pPr>
    </w:p>
    <w:p>
      <w:pPr>
        <w:pStyle w:val="Heading8"/>
        <w:ind w:left="1719"/>
      </w:pPr>
      <w:r>
        <w:rPr/>
        <w:t>NON FIRE SEASON</w:t>
      </w:r>
    </w:p>
    <w:p>
      <w:pPr>
        <w:pStyle w:val="BodyText"/>
        <w:tabs>
          <w:tab w:pos="3879" w:val="left" w:leader="none"/>
        </w:tabs>
        <w:ind w:left="1719"/>
      </w:pPr>
      <w:r>
        <w:rPr/>
        <w:t>0700-1530</w:t>
      </w:r>
      <w:r>
        <w:rPr>
          <w:spacing w:val="-2"/>
        </w:rPr>
        <w:t> </w:t>
      </w:r>
      <w:r>
        <w:rPr/>
        <w:t>PDT</w:t>
        <w:tab/>
        <w:t>5 days a</w:t>
      </w:r>
      <w:r>
        <w:rPr>
          <w:spacing w:val="0"/>
        </w:rPr>
        <w:t> </w:t>
      </w:r>
      <w:r>
        <w:rPr/>
        <w:t>week</w:t>
      </w:r>
    </w:p>
    <w:p>
      <w:pPr>
        <w:spacing w:after="0"/>
        <w:sectPr>
          <w:footerReference w:type="default" r:id="rId24"/>
          <w:pgSz w:w="12240" w:h="15840"/>
          <w:pgMar w:footer="999" w:header="0" w:top="1420" w:bottom="1180" w:left="340" w:right="620"/>
        </w:sectPr>
      </w:pPr>
    </w:p>
    <w:p>
      <w:pPr>
        <w:pStyle w:val="Heading5"/>
        <w:spacing w:before="76"/>
        <w:ind w:left="999"/>
        <w:rPr>
          <w:u w:val="none"/>
        </w:rPr>
      </w:pPr>
      <w:r>
        <w:rPr>
          <w:u w:val="thick"/>
        </w:rPr>
        <w:t>STAFF</w:t>
      </w:r>
    </w:p>
    <w:p>
      <w:pPr>
        <w:pStyle w:val="BodyText"/>
        <w:spacing w:before="11"/>
        <w:rPr>
          <w:b/>
          <w:sz w:val="15"/>
        </w:rPr>
      </w:pPr>
    </w:p>
    <w:p>
      <w:pPr>
        <w:pStyle w:val="BodyText"/>
        <w:spacing w:before="92"/>
        <w:ind w:left="999" w:right="909"/>
      </w:pPr>
      <w:r>
        <w:rPr/>
        <w:t>The NWCC Predictive Services program is interagency. It encompasses two meteorologists, a Fire Management Analyst and assistants, an Intelligence Officer and a Geographic Information System (GIS) specialist and assistants from the different federal and state land management agencies.</w:t>
      </w:r>
    </w:p>
    <w:p>
      <w:pPr>
        <w:pStyle w:val="BodyText"/>
        <w:rPr>
          <w:sz w:val="26"/>
        </w:rPr>
      </w:pPr>
    </w:p>
    <w:p>
      <w:pPr>
        <w:pStyle w:val="BodyText"/>
        <w:rPr>
          <w:sz w:val="22"/>
        </w:rPr>
      </w:pPr>
    </w:p>
    <w:p>
      <w:pPr>
        <w:pStyle w:val="Heading8"/>
        <w:ind w:left="1719"/>
      </w:pPr>
      <w:r>
        <w:rPr/>
        <w:t>METEOROLOGY</w:t>
      </w:r>
    </w:p>
    <w:p>
      <w:pPr>
        <w:pStyle w:val="BodyText"/>
        <w:tabs>
          <w:tab w:pos="7479" w:val="left" w:leader="none"/>
        </w:tabs>
        <w:ind w:left="1719"/>
      </w:pPr>
      <w:r>
        <w:rPr/>
        <w:t>John Saltenberger </w:t>
      </w:r>
      <w:r>
        <w:rPr>
          <w:spacing w:val="52"/>
        </w:rPr>
        <w:t> </w:t>
      </w:r>
      <w:r>
        <w:rPr/>
        <w:t>Program</w:t>
      </w:r>
      <w:r>
        <w:rPr>
          <w:spacing w:val="-1"/>
        </w:rPr>
        <w:t> </w:t>
      </w:r>
      <w:r>
        <w:rPr/>
        <w:t>Manager</w:t>
        <w:tab/>
        <w:t>(503)</w:t>
      </w:r>
      <w:r>
        <w:rPr>
          <w:spacing w:val="-2"/>
        </w:rPr>
        <w:t> </w:t>
      </w:r>
      <w:r>
        <w:rPr/>
        <w:t>808-2737</w:t>
      </w:r>
    </w:p>
    <w:p>
      <w:pPr>
        <w:pStyle w:val="BodyText"/>
        <w:tabs>
          <w:tab w:pos="3879" w:val="left" w:leader="none"/>
          <w:tab w:pos="7479" w:val="left" w:leader="none"/>
        </w:tabs>
        <w:ind w:left="1719" w:right="2154"/>
      </w:pPr>
      <w:r>
        <w:rPr/>
        <w:t>Eric</w:t>
      </w:r>
      <w:r>
        <w:rPr>
          <w:spacing w:val="-5"/>
        </w:rPr>
        <w:t> </w:t>
      </w:r>
      <w:r>
        <w:rPr/>
        <w:t>Wise</w:t>
        <w:tab/>
        <w:t>Meteorologist</w:t>
        <w:tab/>
        <w:t>(503) 808-2756 Various Detailers during fire</w:t>
      </w:r>
      <w:r>
        <w:rPr>
          <w:spacing w:val="-2"/>
        </w:rPr>
        <w:t> </w:t>
      </w:r>
      <w:r>
        <w:rPr/>
        <w:t>season</w:t>
      </w:r>
    </w:p>
    <w:p>
      <w:pPr>
        <w:pStyle w:val="BodyText"/>
      </w:pPr>
    </w:p>
    <w:p>
      <w:pPr>
        <w:pStyle w:val="Heading8"/>
        <w:ind w:left="1719"/>
      </w:pPr>
      <w:r>
        <w:rPr/>
        <w:t>INTELLIGENCE/FIRE MANAGEMENT</w:t>
      </w:r>
    </w:p>
    <w:p>
      <w:pPr>
        <w:pStyle w:val="BodyText"/>
        <w:tabs>
          <w:tab w:pos="3879" w:val="left" w:leader="none"/>
          <w:tab w:pos="7479" w:val="left" w:leader="none"/>
        </w:tabs>
        <w:ind w:left="1719"/>
      </w:pPr>
      <w:r>
        <w:rPr/>
        <w:t>Vacant</w:t>
        <w:tab/>
        <w:t>Fire</w:t>
      </w:r>
      <w:r>
        <w:rPr>
          <w:spacing w:val="-3"/>
        </w:rPr>
        <w:t> </w:t>
      </w:r>
      <w:r>
        <w:rPr/>
        <w:t>Management</w:t>
      </w:r>
      <w:r>
        <w:rPr>
          <w:spacing w:val="-6"/>
        </w:rPr>
        <w:t> </w:t>
      </w:r>
      <w:r>
        <w:rPr/>
        <w:t>Analyst</w:t>
        <w:tab/>
        <w:t>(503)</w:t>
      </w:r>
      <w:r>
        <w:rPr>
          <w:spacing w:val="-8"/>
        </w:rPr>
        <w:t> </w:t>
      </w:r>
      <w:r>
        <w:rPr/>
        <w:t>808-2733</w:t>
      </w:r>
    </w:p>
    <w:p>
      <w:pPr>
        <w:pStyle w:val="BodyText"/>
        <w:tabs>
          <w:tab w:pos="3879" w:val="left" w:leader="none"/>
          <w:tab w:pos="7479" w:val="left" w:leader="none"/>
        </w:tabs>
        <w:ind w:left="1719"/>
      </w:pPr>
      <w:r>
        <w:rPr/>
        <w:t>Monica</w:t>
      </w:r>
      <w:r>
        <w:rPr>
          <w:spacing w:val="-2"/>
        </w:rPr>
        <w:t> </w:t>
      </w:r>
      <w:r>
        <w:rPr/>
        <w:t>Ramirez</w:t>
        <w:tab/>
        <w:t>Intelligence</w:t>
      </w:r>
      <w:r>
        <w:rPr>
          <w:spacing w:val="-2"/>
        </w:rPr>
        <w:t> </w:t>
      </w:r>
      <w:r>
        <w:rPr/>
        <w:t>Officer</w:t>
        <w:tab/>
        <w:t>(503)</w:t>
      </w:r>
      <w:r>
        <w:rPr>
          <w:spacing w:val="-8"/>
        </w:rPr>
        <w:t> </w:t>
      </w:r>
      <w:r>
        <w:rPr/>
        <w:t>808-2734</w:t>
      </w:r>
    </w:p>
    <w:p>
      <w:pPr>
        <w:pStyle w:val="BodyText"/>
        <w:tabs>
          <w:tab w:pos="7479" w:val="left" w:leader="none"/>
        </w:tabs>
        <w:ind w:left="1719"/>
      </w:pPr>
      <w:r>
        <w:rPr/>
        <w:t>Various Detailers during</w:t>
      </w:r>
      <w:r>
        <w:rPr>
          <w:spacing w:val="-9"/>
        </w:rPr>
        <w:t> </w:t>
      </w:r>
      <w:r>
        <w:rPr/>
        <w:t>fire</w:t>
      </w:r>
      <w:r>
        <w:rPr>
          <w:spacing w:val="-2"/>
        </w:rPr>
        <w:t> </w:t>
      </w:r>
      <w:r>
        <w:rPr/>
        <w:t>season</w:t>
        <w:tab/>
        <w:t>(503)</w:t>
      </w:r>
      <w:r>
        <w:rPr>
          <w:spacing w:val="-8"/>
        </w:rPr>
        <w:t> </w:t>
      </w:r>
      <w:r>
        <w:rPr/>
        <w:t>808-2780</w:t>
      </w:r>
    </w:p>
    <w:p>
      <w:pPr>
        <w:pStyle w:val="BodyText"/>
      </w:pPr>
    </w:p>
    <w:p>
      <w:pPr>
        <w:pStyle w:val="Heading8"/>
        <w:ind w:left="1719"/>
      </w:pPr>
      <w:r>
        <w:rPr/>
        <w:t>GIS</w:t>
      </w:r>
    </w:p>
    <w:p>
      <w:pPr>
        <w:pStyle w:val="BodyText"/>
        <w:tabs>
          <w:tab w:pos="3879" w:val="left" w:leader="none"/>
          <w:tab w:pos="8199" w:val="left" w:leader="none"/>
        </w:tabs>
        <w:ind w:left="1719"/>
      </w:pPr>
      <w:r>
        <w:rPr/>
        <w:t>Barbra</w:t>
      </w:r>
      <w:r>
        <w:rPr>
          <w:spacing w:val="-1"/>
        </w:rPr>
        <w:t> </w:t>
      </w:r>
      <w:r>
        <w:rPr/>
        <w:t>Haney</w:t>
        <w:tab/>
        <w:t>GIS</w:t>
      </w:r>
      <w:r>
        <w:rPr>
          <w:spacing w:val="-1"/>
        </w:rPr>
        <w:t> </w:t>
      </w:r>
      <w:r>
        <w:rPr/>
        <w:t>specialist</w:t>
        <w:tab/>
        <w:t>(503)</w:t>
      </w:r>
      <w:r>
        <w:rPr>
          <w:spacing w:val="-8"/>
        </w:rPr>
        <w:t> </w:t>
      </w:r>
      <w:r>
        <w:rPr/>
        <w:t>808-2741</w:t>
      </w:r>
    </w:p>
    <w:p>
      <w:pPr>
        <w:pStyle w:val="BodyText"/>
        <w:tabs>
          <w:tab w:pos="8199" w:val="left" w:leader="none"/>
        </w:tabs>
        <w:ind w:left="1719"/>
      </w:pPr>
      <w:r>
        <w:rPr/>
        <w:t>Various detailers during</w:t>
      </w:r>
      <w:r>
        <w:rPr>
          <w:spacing w:val="-11"/>
        </w:rPr>
        <w:t> </w:t>
      </w:r>
      <w:r>
        <w:rPr/>
        <w:t>fire</w:t>
      </w:r>
      <w:r>
        <w:rPr>
          <w:spacing w:val="-1"/>
        </w:rPr>
        <w:t> </w:t>
      </w:r>
      <w:r>
        <w:rPr/>
        <w:t>season</w:t>
        <w:tab/>
        <w:t>(503)</w:t>
      </w:r>
      <w:r>
        <w:rPr>
          <w:spacing w:val="-8"/>
        </w:rPr>
        <w:t> </w:t>
      </w:r>
      <w:r>
        <w:rPr/>
        <w:t>808-2741</w:t>
      </w:r>
    </w:p>
    <w:p>
      <w:pPr>
        <w:pStyle w:val="BodyText"/>
      </w:pPr>
    </w:p>
    <w:p>
      <w:pPr>
        <w:pStyle w:val="Heading8"/>
        <w:ind w:left="1719"/>
      </w:pPr>
      <w:r>
        <w:rPr/>
        <w:t>EMAIL</w:t>
      </w:r>
    </w:p>
    <w:p>
      <w:pPr>
        <w:pStyle w:val="BodyText"/>
        <w:tabs>
          <w:tab w:pos="3879" w:val="left" w:leader="none"/>
        </w:tabs>
        <w:ind w:left="1719" w:right="5312"/>
      </w:pPr>
      <w:r>
        <w:rPr/>
        <w:t>John Saltenberger </w:t>
      </w:r>
      <w:hyperlink r:id="rId26">
        <w:r>
          <w:rPr>
            <w:color w:val="0000FF"/>
            <w:u w:val="single" w:color="0000FF"/>
          </w:rPr>
          <w:t>jsaltenb@blm.gov</w:t>
        </w:r>
      </w:hyperlink>
      <w:r>
        <w:rPr>
          <w:color w:val="0000FF"/>
        </w:rPr>
        <w:t> </w:t>
      </w:r>
      <w:r>
        <w:rPr/>
        <w:t>Eric</w:t>
      </w:r>
      <w:r>
        <w:rPr>
          <w:spacing w:val="-5"/>
        </w:rPr>
        <w:t> </w:t>
      </w:r>
      <w:r>
        <w:rPr/>
        <w:t>Wise</w:t>
        <w:tab/>
      </w:r>
      <w:hyperlink r:id="rId27">
        <w:r>
          <w:rPr>
            <w:color w:val="0000FF"/>
            <w:u w:val="single" w:color="0000FF"/>
          </w:rPr>
          <w:t>Eric.Wise@bia.gov</w:t>
        </w:r>
      </w:hyperlink>
      <w:r>
        <w:rPr>
          <w:color w:val="0000FF"/>
        </w:rPr>
        <w:t> </w:t>
      </w:r>
      <w:r>
        <w:rPr/>
        <w:t>Monica</w:t>
      </w:r>
      <w:r>
        <w:rPr>
          <w:spacing w:val="-2"/>
        </w:rPr>
        <w:t> </w:t>
      </w:r>
      <w:r>
        <w:rPr/>
        <w:t>Ramirez</w:t>
        <w:tab/>
      </w:r>
      <w:hyperlink r:id="rId28">
        <w:r>
          <w:rPr>
            <w:color w:val="0000FF"/>
            <w:spacing w:val="-1"/>
            <w:u w:val="single" w:color="0000FF"/>
          </w:rPr>
          <w:t>mramirez@blm.gov</w:t>
        </w:r>
      </w:hyperlink>
      <w:r>
        <w:rPr>
          <w:color w:val="0000FF"/>
          <w:spacing w:val="-1"/>
        </w:rPr>
        <w:t> </w:t>
      </w:r>
      <w:r>
        <w:rPr/>
        <w:t>Barbara</w:t>
      </w:r>
      <w:r>
        <w:rPr>
          <w:spacing w:val="-1"/>
        </w:rPr>
        <w:t> </w:t>
      </w:r>
      <w:r>
        <w:rPr/>
        <w:t>Haney</w:t>
        <w:tab/>
      </w:r>
      <w:hyperlink r:id="rId29">
        <w:r>
          <w:rPr>
            <w:color w:val="0000FF"/>
            <w:u w:val="single" w:color="0000FF"/>
          </w:rPr>
          <w:t>bhaney@blm.gov</w:t>
        </w:r>
      </w:hyperlink>
    </w:p>
    <w:p>
      <w:pPr>
        <w:pStyle w:val="BodyText"/>
        <w:rPr>
          <w:sz w:val="16"/>
        </w:rPr>
      </w:pPr>
    </w:p>
    <w:p>
      <w:pPr>
        <w:pStyle w:val="Heading8"/>
        <w:spacing w:line="276" w:lineRule="exact" w:before="93"/>
        <w:ind w:left="1719"/>
      </w:pPr>
      <w:r>
        <w:rPr/>
        <w:t>WORLD WIDE WEB</w:t>
      </w:r>
    </w:p>
    <w:p>
      <w:pPr>
        <w:spacing w:line="368" w:lineRule="exact" w:before="0"/>
        <w:ind w:left="1719" w:right="0" w:firstLine="0"/>
        <w:jc w:val="left"/>
        <w:rPr>
          <w:sz w:val="32"/>
        </w:rPr>
      </w:pPr>
      <w:hyperlink r:id="rId30">
        <w:r>
          <w:rPr>
            <w:color w:val="0000FF"/>
            <w:sz w:val="32"/>
            <w:u w:val="thick" w:color="0000FF"/>
          </w:rPr>
          <w:t>http://gacc.nifc.gov/nwcc/</w:t>
        </w:r>
      </w:hyperlink>
    </w:p>
    <w:p>
      <w:pPr>
        <w:pStyle w:val="BodyText"/>
        <w:spacing w:before="1"/>
      </w:pPr>
    </w:p>
    <w:p>
      <w:pPr>
        <w:pStyle w:val="Heading5"/>
        <w:spacing w:before="89"/>
        <w:ind w:left="999"/>
        <w:rPr>
          <w:u w:val="none"/>
        </w:rPr>
      </w:pPr>
      <w:bookmarkStart w:name="UPRODUCTS and SERVICES" w:id="40"/>
      <w:bookmarkEnd w:id="40"/>
      <w:r>
        <w:rPr>
          <w:b w:val="0"/>
          <w:u w:val="none"/>
        </w:rPr>
      </w:r>
      <w:r>
        <w:rPr>
          <w:u w:val="thick"/>
        </w:rPr>
        <w:t>PRODUCTS and SERVICES</w:t>
      </w:r>
    </w:p>
    <w:p>
      <w:pPr>
        <w:pStyle w:val="BodyText"/>
        <w:spacing w:before="221"/>
        <w:ind w:left="1359" w:right="949"/>
      </w:pPr>
      <w:r>
        <w:rPr/>
        <w:t>Predictive Services provides products and services mainly intended for use by national and geographic area fire management decision makers such as NWCC and NICC coordinators and Multi-Agency Coordination groups (GMAC, NMAC).</w:t>
      </w:r>
    </w:p>
    <w:p>
      <w:pPr>
        <w:pStyle w:val="BodyText"/>
        <w:ind w:left="1359" w:right="1027"/>
      </w:pPr>
      <w:r>
        <w:rPr/>
        <w:t>Predictive Services analyzes current resource status, fuels conditions and fire danger, fire weather, and ignition data in order to produce and disseminate fire potential decision support products. These products are produced so that regional and national fire managers can make pro-active fire management decisions regarding prioritization and distribution of firefighting resources.</w:t>
      </w:r>
    </w:p>
    <w:p>
      <w:pPr>
        <w:spacing w:after="0"/>
        <w:sectPr>
          <w:pgSz w:w="12240" w:h="15840"/>
          <w:pgMar w:header="0" w:footer="999" w:top="1280" w:bottom="1240" w:left="340" w:right="620"/>
        </w:sectPr>
      </w:pPr>
    </w:p>
    <w:p>
      <w:pPr>
        <w:pStyle w:val="Heading6"/>
        <w:numPr>
          <w:ilvl w:val="0"/>
          <w:numId w:val="3"/>
        </w:numPr>
        <w:tabs>
          <w:tab w:pos="2080" w:val="left" w:leader="none"/>
        </w:tabs>
        <w:spacing w:line="240" w:lineRule="auto" w:before="77" w:after="0"/>
        <w:ind w:left="2079" w:right="0" w:hanging="360"/>
        <w:jc w:val="left"/>
      </w:pPr>
      <w:r>
        <w:rPr/>
        <w:t>Daily Fire Activity</w:t>
      </w:r>
      <w:r>
        <w:rPr>
          <w:spacing w:val="-8"/>
        </w:rPr>
        <w:t> </w:t>
      </w:r>
      <w:r>
        <w:rPr/>
        <w:t>Forecast</w:t>
      </w:r>
    </w:p>
    <w:p>
      <w:pPr>
        <w:pStyle w:val="BodyText"/>
        <w:spacing w:before="10"/>
        <w:rPr>
          <w:b/>
          <w:sz w:val="27"/>
        </w:rPr>
      </w:pPr>
    </w:p>
    <w:p>
      <w:pPr>
        <w:pStyle w:val="BodyText"/>
        <w:ind w:left="2079" w:right="950"/>
      </w:pPr>
      <w:r>
        <w:rPr/>
        <w:t>Updated daily during fire season, the Fire Activity Forecast is an internal NWCC product that summarizes anticipated new fire load over the several days in each Predictive Service Area (PSA) days by combining projections of:</w:t>
      </w:r>
    </w:p>
    <w:p>
      <w:pPr>
        <w:pStyle w:val="BodyText"/>
      </w:pPr>
    </w:p>
    <w:p>
      <w:pPr>
        <w:pStyle w:val="ListParagraph"/>
        <w:numPr>
          <w:ilvl w:val="1"/>
          <w:numId w:val="3"/>
        </w:numPr>
        <w:tabs>
          <w:tab w:pos="2859" w:val="left" w:leader="none"/>
          <w:tab w:pos="2860" w:val="left" w:leader="none"/>
        </w:tabs>
        <w:spacing w:line="293" w:lineRule="exact" w:before="1" w:after="0"/>
        <w:ind w:left="2859" w:right="0" w:hanging="360"/>
        <w:jc w:val="left"/>
        <w:rPr>
          <w:sz w:val="24"/>
        </w:rPr>
      </w:pPr>
      <w:r>
        <w:rPr>
          <w:sz w:val="24"/>
        </w:rPr>
        <w:t>Fluctuations in fire danger in each</w:t>
      </w:r>
      <w:r>
        <w:rPr>
          <w:spacing w:val="-5"/>
          <w:sz w:val="24"/>
        </w:rPr>
        <w:t> </w:t>
      </w:r>
      <w:r>
        <w:rPr>
          <w:sz w:val="24"/>
        </w:rPr>
        <w:t>PSA.</w:t>
      </w:r>
    </w:p>
    <w:p>
      <w:pPr>
        <w:pStyle w:val="ListParagraph"/>
        <w:numPr>
          <w:ilvl w:val="1"/>
          <w:numId w:val="3"/>
        </w:numPr>
        <w:tabs>
          <w:tab w:pos="2859" w:val="left" w:leader="none"/>
          <w:tab w:pos="2860" w:val="left" w:leader="none"/>
        </w:tabs>
        <w:spacing w:line="290" w:lineRule="exact" w:before="0" w:after="0"/>
        <w:ind w:left="2859" w:right="0" w:hanging="360"/>
        <w:jc w:val="left"/>
        <w:rPr>
          <w:sz w:val="24"/>
        </w:rPr>
      </w:pPr>
      <w:r>
        <w:rPr>
          <w:sz w:val="24"/>
        </w:rPr>
        <w:t>The number of new fires expected in each</w:t>
      </w:r>
      <w:r>
        <w:rPr>
          <w:spacing w:val="-6"/>
          <w:sz w:val="24"/>
        </w:rPr>
        <w:t> </w:t>
      </w:r>
      <w:r>
        <w:rPr>
          <w:sz w:val="24"/>
        </w:rPr>
        <w:t>PSA</w:t>
      </w:r>
    </w:p>
    <w:p>
      <w:pPr>
        <w:pStyle w:val="ListParagraph"/>
        <w:numPr>
          <w:ilvl w:val="1"/>
          <w:numId w:val="3"/>
        </w:numPr>
        <w:tabs>
          <w:tab w:pos="2859" w:val="left" w:leader="none"/>
          <w:tab w:pos="2860" w:val="left" w:leader="none"/>
        </w:tabs>
        <w:spacing w:line="291" w:lineRule="exact" w:before="0" w:after="0"/>
        <w:ind w:left="2859" w:right="0" w:hanging="360"/>
        <w:jc w:val="left"/>
        <w:rPr>
          <w:sz w:val="24"/>
        </w:rPr>
      </w:pPr>
      <w:r>
        <w:rPr>
          <w:sz w:val="24"/>
        </w:rPr>
        <w:t>The probability of </w:t>
      </w:r>
      <w:r>
        <w:rPr>
          <w:i/>
          <w:sz w:val="24"/>
          <w:u w:val="single"/>
        </w:rPr>
        <w:t>new significant fires</w:t>
      </w:r>
      <w:r>
        <w:rPr>
          <w:i/>
          <w:sz w:val="24"/>
        </w:rPr>
        <w:t> </w:t>
      </w:r>
      <w:r>
        <w:rPr>
          <w:sz w:val="24"/>
        </w:rPr>
        <w:t>in each</w:t>
      </w:r>
      <w:r>
        <w:rPr>
          <w:spacing w:val="-8"/>
          <w:sz w:val="24"/>
        </w:rPr>
        <w:t> </w:t>
      </w:r>
      <w:r>
        <w:rPr>
          <w:sz w:val="24"/>
        </w:rPr>
        <w:t>PSA</w:t>
      </w:r>
    </w:p>
    <w:p>
      <w:pPr>
        <w:pStyle w:val="BodyText"/>
        <w:rPr>
          <w:sz w:val="20"/>
        </w:rPr>
      </w:pPr>
    </w:p>
    <w:p>
      <w:pPr>
        <w:pStyle w:val="BodyText"/>
        <w:spacing w:before="1"/>
        <w:rPr>
          <w:sz w:val="20"/>
        </w:rPr>
      </w:pPr>
    </w:p>
    <w:p>
      <w:pPr>
        <w:pStyle w:val="Heading6"/>
        <w:numPr>
          <w:ilvl w:val="0"/>
          <w:numId w:val="3"/>
        </w:numPr>
        <w:tabs>
          <w:tab w:pos="2080" w:val="left" w:leader="none"/>
        </w:tabs>
        <w:spacing w:line="240" w:lineRule="auto" w:before="92" w:after="0"/>
        <w:ind w:left="2079" w:right="0" w:hanging="360"/>
        <w:jc w:val="left"/>
      </w:pPr>
      <w:r>
        <w:rPr/>
        <w:t>7-Day Significant Fire</w:t>
      </w:r>
      <w:r>
        <w:rPr>
          <w:spacing w:val="-13"/>
        </w:rPr>
        <w:t> </w:t>
      </w:r>
      <w:r>
        <w:rPr/>
        <w:t>Potential</w:t>
      </w:r>
    </w:p>
    <w:p>
      <w:pPr>
        <w:pStyle w:val="BodyText"/>
        <w:spacing w:before="10"/>
        <w:rPr>
          <w:b/>
          <w:sz w:val="23"/>
        </w:rPr>
      </w:pPr>
    </w:p>
    <w:p>
      <w:pPr>
        <w:pStyle w:val="BodyText"/>
        <w:ind w:left="2079" w:right="963"/>
      </w:pPr>
      <w:r>
        <w:rPr/>
        <w:t>The 7-Day Significant Fire Potential is a subset of the daily Fire Activity Forecast mentioned above. Both are generated daily by combing weighted contributions of weather elements, fire danger indices, estimated ignitions, and the availability of firefighting resources. Recall that “Significant fires” are defined in the NWCG glossary as those fires large and costly enough to warrant movement of firefighting resources from outside the area where the fire originates. A daily risk factor is assigned to each PSA based on its unique contributing factors.</w:t>
      </w:r>
    </w:p>
    <w:p>
      <w:pPr>
        <w:pStyle w:val="BodyText"/>
      </w:pPr>
    </w:p>
    <w:p>
      <w:pPr>
        <w:pStyle w:val="BodyText"/>
        <w:spacing w:before="1"/>
        <w:ind w:left="2079" w:right="1136"/>
      </w:pPr>
      <w:r>
        <w:rPr/>
        <w:t>PSAs expected to undergo elevated risk of new significant wildland fires are denoted in the 7-Day products published by Predictive Services in varying colors based on their daily risk ranking. Red designations depict risk factors above the 20% threshold and are called “high risk” days for elevated risk of new large fires.</w:t>
      </w:r>
    </w:p>
    <w:p>
      <w:pPr>
        <w:pStyle w:val="BodyText"/>
      </w:pPr>
    </w:p>
    <w:p>
      <w:pPr>
        <w:pStyle w:val="BodyText"/>
        <w:ind w:left="2079"/>
      </w:pPr>
      <w:r>
        <w:rPr/>
        <w:t>NWCC’s daily 7-Day Significant Fire Potential product is available at:</w:t>
      </w:r>
    </w:p>
    <w:p>
      <w:pPr>
        <w:pStyle w:val="BodyText"/>
      </w:pPr>
    </w:p>
    <w:p>
      <w:pPr>
        <w:pStyle w:val="BodyText"/>
        <w:ind w:left="2079" w:right="1150"/>
      </w:pPr>
      <w:r>
        <w:rPr/>
        <w:t>Northwest: </w:t>
      </w:r>
      <w:hyperlink r:id="rId31">
        <w:r>
          <w:rPr>
            <w:color w:val="0000FF"/>
            <w:u w:val="single" w:color="0000FF"/>
          </w:rPr>
          <w:t>https://gacc.nifc.gov/nwcc/content/products/fwx/guidance/DL.pdf</w:t>
        </w:r>
      </w:hyperlink>
      <w:r>
        <w:rPr>
          <w:color w:val="0000FF"/>
        </w:rPr>
        <w:t> </w:t>
      </w:r>
      <w:r>
        <w:rPr/>
        <w:t>National Map: </w:t>
      </w:r>
      <w:hyperlink r:id="rId32">
        <w:r>
          <w:rPr>
            <w:color w:val="0000FF"/>
            <w:u w:val="single" w:color="0000FF"/>
          </w:rPr>
          <w:t>https://psgeodata.fs.fed.us/forecast/#/outlooks?state=map</w:t>
        </w:r>
      </w:hyperlink>
    </w:p>
    <w:p>
      <w:pPr>
        <w:pStyle w:val="BodyText"/>
        <w:rPr>
          <w:sz w:val="16"/>
        </w:rPr>
      </w:pPr>
    </w:p>
    <w:p>
      <w:pPr>
        <w:pStyle w:val="BodyText"/>
        <w:spacing w:before="92"/>
        <w:ind w:left="2079" w:right="1029"/>
      </w:pPr>
      <w:r>
        <w:rPr/>
        <w:t>The Fire Activity Forecast and 7-Day Significant Fire Potential products were developed using objective data sources such as the FPA fires database, Fire Family Plus, and detailed meteorological data on a grid centered over the Pacific Northwest. Over two decades’ worth of data were gathered and compared to identify patterns of weather, ignitions, and fire danger that combine to boost the risk of Significant Fires (defined above).</w:t>
      </w:r>
    </w:p>
    <w:p>
      <w:pPr>
        <w:pStyle w:val="BodyText"/>
        <w:spacing w:before="2"/>
      </w:pPr>
    </w:p>
    <w:p>
      <w:pPr>
        <w:pStyle w:val="BodyText"/>
        <w:spacing w:line="237" w:lineRule="auto"/>
        <w:ind w:left="2079" w:right="1723"/>
      </w:pPr>
      <w:r>
        <w:rPr/>
        <w:t>Environmental elements that were considered as possible contributors to </w:t>
      </w:r>
      <w:r>
        <w:rPr>
          <w:i/>
          <w:u w:val="single"/>
        </w:rPr>
        <w:t>initiation</w:t>
      </w:r>
      <w:r>
        <w:rPr>
          <w:i/>
        </w:rPr>
        <w:t> </w:t>
      </w:r>
      <w:r>
        <w:rPr/>
        <w:t>of significant fires in various PSAs include:</w:t>
      </w:r>
    </w:p>
    <w:p>
      <w:pPr>
        <w:pStyle w:val="BodyText"/>
        <w:spacing w:before="4"/>
      </w:pPr>
    </w:p>
    <w:p>
      <w:pPr>
        <w:pStyle w:val="ListParagraph"/>
        <w:numPr>
          <w:ilvl w:val="1"/>
          <w:numId w:val="3"/>
        </w:numPr>
        <w:tabs>
          <w:tab w:pos="2799" w:val="left" w:leader="none"/>
          <w:tab w:pos="2800" w:val="left" w:leader="none"/>
        </w:tabs>
        <w:spacing w:line="240" w:lineRule="auto" w:before="0" w:after="0"/>
        <w:ind w:left="2799" w:right="1395" w:hanging="360"/>
        <w:jc w:val="left"/>
        <w:rPr>
          <w:sz w:val="24"/>
        </w:rPr>
      </w:pPr>
      <w:r>
        <w:rPr>
          <w:sz w:val="24"/>
        </w:rPr>
        <w:t>Absolute values and fluctuations in fire danger as measured by</w:t>
      </w:r>
      <w:r>
        <w:rPr>
          <w:spacing w:val="-35"/>
          <w:sz w:val="24"/>
        </w:rPr>
        <w:t> </w:t>
      </w:r>
      <w:r>
        <w:rPr>
          <w:sz w:val="24"/>
        </w:rPr>
        <w:t>the National Fire Danger Rating System</w:t>
      </w:r>
      <w:r>
        <w:rPr>
          <w:spacing w:val="-2"/>
          <w:sz w:val="24"/>
        </w:rPr>
        <w:t> </w:t>
      </w:r>
      <w:r>
        <w:rPr>
          <w:sz w:val="24"/>
        </w:rPr>
        <w:t>(NFDRS).</w:t>
      </w:r>
    </w:p>
    <w:p>
      <w:pPr>
        <w:pStyle w:val="ListParagraph"/>
        <w:numPr>
          <w:ilvl w:val="2"/>
          <w:numId w:val="3"/>
        </w:numPr>
        <w:tabs>
          <w:tab w:pos="3520" w:val="left" w:leader="none"/>
        </w:tabs>
        <w:spacing w:line="285" w:lineRule="exact" w:before="0" w:after="0"/>
        <w:ind w:left="3519" w:right="0" w:hanging="360"/>
        <w:jc w:val="left"/>
        <w:rPr>
          <w:sz w:val="24"/>
        </w:rPr>
      </w:pPr>
      <w:r>
        <w:rPr>
          <w:sz w:val="24"/>
        </w:rPr>
        <w:t>Energy Release Component (for fuel model</w:t>
      </w:r>
      <w:r>
        <w:rPr>
          <w:spacing w:val="-9"/>
          <w:sz w:val="24"/>
        </w:rPr>
        <w:t> </w:t>
      </w:r>
      <w:r>
        <w:rPr>
          <w:sz w:val="24"/>
        </w:rPr>
        <w:t>G)</w:t>
      </w:r>
    </w:p>
    <w:p>
      <w:pPr>
        <w:pStyle w:val="ListParagraph"/>
        <w:numPr>
          <w:ilvl w:val="2"/>
          <w:numId w:val="3"/>
        </w:numPr>
        <w:tabs>
          <w:tab w:pos="3520" w:val="left" w:leader="none"/>
        </w:tabs>
        <w:spacing w:line="287" w:lineRule="exact" w:before="0" w:after="0"/>
        <w:ind w:left="3519" w:right="0" w:hanging="360"/>
        <w:jc w:val="left"/>
        <w:rPr>
          <w:sz w:val="24"/>
        </w:rPr>
      </w:pPr>
      <w:r>
        <w:rPr>
          <w:sz w:val="24"/>
        </w:rPr>
        <w:t>100hr dead fuel</w:t>
      </w:r>
      <w:r>
        <w:rPr>
          <w:spacing w:val="-6"/>
          <w:sz w:val="24"/>
        </w:rPr>
        <w:t> </w:t>
      </w:r>
      <w:r>
        <w:rPr>
          <w:sz w:val="24"/>
        </w:rPr>
        <w:t>moisture</w:t>
      </w:r>
    </w:p>
    <w:p>
      <w:pPr>
        <w:spacing w:after="0" w:line="287" w:lineRule="exact"/>
        <w:jc w:val="left"/>
        <w:rPr>
          <w:sz w:val="24"/>
        </w:rPr>
        <w:sectPr>
          <w:pgSz w:w="12240" w:h="15840"/>
          <w:pgMar w:header="0" w:footer="999" w:top="1280" w:bottom="1200" w:left="340" w:right="620"/>
        </w:sectPr>
      </w:pPr>
    </w:p>
    <w:p>
      <w:pPr>
        <w:pStyle w:val="ListParagraph"/>
        <w:numPr>
          <w:ilvl w:val="1"/>
          <w:numId w:val="3"/>
        </w:numPr>
        <w:tabs>
          <w:tab w:pos="2799" w:val="left" w:leader="none"/>
          <w:tab w:pos="2800" w:val="left" w:leader="none"/>
        </w:tabs>
        <w:spacing w:line="292" w:lineRule="exact" w:before="133" w:after="0"/>
        <w:ind w:left="2799" w:right="0" w:hanging="360"/>
        <w:jc w:val="left"/>
        <w:rPr>
          <w:sz w:val="24"/>
        </w:rPr>
      </w:pPr>
      <w:r>
        <w:rPr>
          <w:sz w:val="24"/>
        </w:rPr>
        <w:t>General winds averaged across the landscape of a</w:t>
      </w:r>
      <w:r>
        <w:rPr>
          <w:spacing w:val="-4"/>
          <w:sz w:val="24"/>
        </w:rPr>
        <w:t> </w:t>
      </w:r>
      <w:r>
        <w:rPr>
          <w:sz w:val="24"/>
        </w:rPr>
        <w:t>PSA.</w:t>
      </w:r>
    </w:p>
    <w:p>
      <w:pPr>
        <w:pStyle w:val="ListParagraph"/>
        <w:numPr>
          <w:ilvl w:val="1"/>
          <w:numId w:val="3"/>
        </w:numPr>
        <w:tabs>
          <w:tab w:pos="2799" w:val="left" w:leader="none"/>
          <w:tab w:pos="2800" w:val="left" w:leader="none"/>
        </w:tabs>
        <w:spacing w:line="292" w:lineRule="exact" w:before="0" w:after="0"/>
        <w:ind w:left="2799" w:right="0" w:hanging="360"/>
        <w:jc w:val="left"/>
        <w:rPr>
          <w:sz w:val="24"/>
        </w:rPr>
      </w:pPr>
      <w:r>
        <w:rPr>
          <w:sz w:val="24"/>
        </w:rPr>
        <w:t>Instability in the atmosphere over a</w:t>
      </w:r>
      <w:r>
        <w:rPr>
          <w:spacing w:val="-3"/>
          <w:sz w:val="24"/>
        </w:rPr>
        <w:t> </w:t>
      </w:r>
      <w:r>
        <w:rPr>
          <w:sz w:val="24"/>
        </w:rPr>
        <w:t>PSA.</w:t>
      </w:r>
    </w:p>
    <w:p>
      <w:pPr>
        <w:pStyle w:val="ListParagraph"/>
        <w:numPr>
          <w:ilvl w:val="1"/>
          <w:numId w:val="3"/>
        </w:numPr>
        <w:tabs>
          <w:tab w:pos="2799" w:val="left" w:leader="none"/>
          <w:tab w:pos="2800" w:val="left" w:leader="none"/>
        </w:tabs>
        <w:spacing w:line="292" w:lineRule="exact" w:before="0" w:after="0"/>
        <w:ind w:left="2799" w:right="0" w:hanging="360"/>
        <w:jc w:val="left"/>
        <w:rPr>
          <w:sz w:val="24"/>
        </w:rPr>
      </w:pPr>
      <w:r>
        <w:rPr>
          <w:sz w:val="24"/>
        </w:rPr>
        <w:t>Dryness in the atmosphere over a</w:t>
      </w:r>
      <w:r>
        <w:rPr>
          <w:spacing w:val="-1"/>
          <w:sz w:val="24"/>
        </w:rPr>
        <w:t> </w:t>
      </w:r>
      <w:r>
        <w:rPr>
          <w:sz w:val="24"/>
        </w:rPr>
        <w:t>PSA.</w:t>
      </w:r>
    </w:p>
    <w:p>
      <w:pPr>
        <w:pStyle w:val="ListParagraph"/>
        <w:numPr>
          <w:ilvl w:val="2"/>
          <w:numId w:val="3"/>
        </w:numPr>
        <w:tabs>
          <w:tab w:pos="3520" w:val="left" w:leader="none"/>
        </w:tabs>
        <w:spacing w:line="286" w:lineRule="exact" w:before="0" w:after="0"/>
        <w:ind w:left="3519" w:right="0" w:hanging="360"/>
        <w:jc w:val="left"/>
        <w:rPr>
          <w:sz w:val="24"/>
        </w:rPr>
      </w:pPr>
      <w:r>
        <w:rPr>
          <w:sz w:val="24"/>
        </w:rPr>
        <w:t>Vapor pressure</w:t>
      </w:r>
      <w:r>
        <w:rPr>
          <w:spacing w:val="-5"/>
          <w:sz w:val="24"/>
        </w:rPr>
        <w:t> </w:t>
      </w:r>
      <w:r>
        <w:rPr>
          <w:sz w:val="24"/>
        </w:rPr>
        <w:t>deficit</w:t>
      </w:r>
    </w:p>
    <w:p>
      <w:pPr>
        <w:pStyle w:val="ListParagraph"/>
        <w:numPr>
          <w:ilvl w:val="1"/>
          <w:numId w:val="3"/>
        </w:numPr>
        <w:tabs>
          <w:tab w:pos="2799" w:val="left" w:leader="none"/>
          <w:tab w:pos="2800" w:val="left" w:leader="none"/>
        </w:tabs>
        <w:spacing w:line="283" w:lineRule="exact" w:before="0" w:after="0"/>
        <w:ind w:left="2799" w:right="0" w:hanging="360"/>
        <w:jc w:val="left"/>
        <w:rPr>
          <w:sz w:val="24"/>
        </w:rPr>
      </w:pPr>
      <w:r>
        <w:rPr>
          <w:sz w:val="24"/>
        </w:rPr>
        <w:t>Numbers of ignitions concentrated in a 24hour period in a</w:t>
      </w:r>
      <w:r>
        <w:rPr>
          <w:spacing w:val="-7"/>
          <w:sz w:val="24"/>
        </w:rPr>
        <w:t> </w:t>
      </w:r>
      <w:r>
        <w:rPr>
          <w:sz w:val="24"/>
        </w:rPr>
        <w:t>PSA.</w:t>
      </w:r>
    </w:p>
    <w:p>
      <w:pPr>
        <w:pStyle w:val="ListParagraph"/>
        <w:numPr>
          <w:ilvl w:val="2"/>
          <w:numId w:val="3"/>
        </w:numPr>
        <w:tabs>
          <w:tab w:pos="3520" w:val="left" w:leader="none"/>
        </w:tabs>
        <w:spacing w:line="286" w:lineRule="exact" w:before="0" w:after="0"/>
        <w:ind w:left="3519" w:right="0" w:hanging="360"/>
        <w:jc w:val="left"/>
        <w:rPr>
          <w:sz w:val="24"/>
        </w:rPr>
      </w:pPr>
      <w:r>
        <w:rPr>
          <w:sz w:val="24"/>
        </w:rPr>
        <w:t>Lightning</w:t>
      </w:r>
      <w:r>
        <w:rPr>
          <w:spacing w:val="-2"/>
          <w:sz w:val="24"/>
        </w:rPr>
        <w:t> </w:t>
      </w:r>
      <w:r>
        <w:rPr>
          <w:sz w:val="24"/>
        </w:rPr>
        <w:t>sources</w:t>
      </w:r>
    </w:p>
    <w:p>
      <w:pPr>
        <w:pStyle w:val="ListParagraph"/>
        <w:numPr>
          <w:ilvl w:val="2"/>
          <w:numId w:val="3"/>
        </w:numPr>
        <w:tabs>
          <w:tab w:pos="3520" w:val="left" w:leader="none"/>
        </w:tabs>
        <w:spacing w:line="287" w:lineRule="exact" w:before="0" w:after="0"/>
        <w:ind w:left="3519" w:right="0" w:hanging="360"/>
        <w:jc w:val="left"/>
        <w:rPr>
          <w:sz w:val="24"/>
        </w:rPr>
      </w:pPr>
      <w:r>
        <w:rPr>
          <w:sz w:val="24"/>
        </w:rPr>
        <w:t>Human sources</w:t>
      </w:r>
    </w:p>
    <w:p>
      <w:pPr>
        <w:pStyle w:val="BodyText"/>
        <w:spacing w:before="1"/>
        <w:rPr>
          <w:sz w:val="22"/>
        </w:rPr>
      </w:pPr>
    </w:p>
    <w:p>
      <w:pPr>
        <w:pStyle w:val="BodyText"/>
        <w:spacing w:before="1"/>
        <w:ind w:left="2079" w:right="1176"/>
      </w:pPr>
      <w:r>
        <w:rPr>
          <w:b/>
          <w:u w:val="thick"/>
        </w:rPr>
        <w:t>Note on Interpreting the 7-Day Significant Fire Potential Product:</w:t>
      </w:r>
      <w:r>
        <w:rPr>
          <w:b/>
        </w:rPr>
        <w:t> </w:t>
      </w:r>
      <w:r>
        <w:rPr/>
        <w:t>Because it is not site specific, the 7-Day Significant Fire Potential Forecast is </w:t>
      </w:r>
      <w:r>
        <w:rPr>
          <w:i/>
          <w:u w:val="single"/>
        </w:rPr>
        <w:t>not</w:t>
      </w:r>
      <w:r>
        <w:rPr>
          <w:i/>
        </w:rPr>
        <w:t> </w:t>
      </w:r>
      <w:r>
        <w:rPr/>
        <w:t>intended to be interpreted as a fire weather forecast or a fire behavior forecast. It is not intended to be used for gauging safety risks due to fire activity. It does not necessarily reflect extreme conditions in different fuel types within any PSA. Rather, the 7-Day Significant Fire Potential Forecast simply depicts the daily risk of fires growing to meet the ‘significant’ size criteria in each PSA based on historical combinations of past contributing factors.</w:t>
      </w:r>
    </w:p>
    <w:p>
      <w:pPr>
        <w:pStyle w:val="BodyText"/>
        <w:spacing w:before="10"/>
        <w:rPr>
          <w:sz w:val="23"/>
        </w:rPr>
      </w:pPr>
    </w:p>
    <w:p>
      <w:pPr>
        <w:pStyle w:val="Heading6"/>
        <w:numPr>
          <w:ilvl w:val="0"/>
          <w:numId w:val="3"/>
        </w:numPr>
        <w:tabs>
          <w:tab w:pos="2080" w:val="left" w:leader="none"/>
        </w:tabs>
        <w:spacing w:line="240" w:lineRule="auto" w:before="0" w:after="0"/>
        <w:ind w:left="2079" w:right="0" w:hanging="360"/>
        <w:jc w:val="left"/>
      </w:pPr>
      <w:r>
        <w:rPr/>
        <w:t>Regional Preparedness Level</w:t>
      </w:r>
      <w:r>
        <w:rPr>
          <w:spacing w:val="2"/>
        </w:rPr>
        <w:t> </w:t>
      </w:r>
      <w:r>
        <w:rPr/>
        <w:t>Forecast</w:t>
      </w:r>
    </w:p>
    <w:p>
      <w:pPr>
        <w:pStyle w:val="BodyText"/>
        <w:rPr>
          <w:b/>
          <w:sz w:val="28"/>
        </w:rPr>
      </w:pPr>
    </w:p>
    <w:p>
      <w:pPr>
        <w:pStyle w:val="BodyText"/>
        <w:spacing w:before="1"/>
        <w:ind w:left="2079" w:right="923"/>
      </w:pPr>
      <w:r>
        <w:rPr/>
        <w:t>Daily Preparedness Level for the Northwest geographic area is determined by the NWCC center manager and/or Operations Manager with guidance from the NWCC Predictive Services unit.</w:t>
      </w:r>
    </w:p>
    <w:p>
      <w:pPr>
        <w:pStyle w:val="BodyText"/>
      </w:pPr>
    </w:p>
    <w:p>
      <w:pPr>
        <w:pStyle w:val="BodyText"/>
        <w:ind w:left="2079" w:right="1122"/>
      </w:pPr>
      <w:r>
        <w:rPr/>
        <w:t>That guidance is based on objective assessment of the current demand and forecasts for future need of fire management resources from NWCC’s Fire Activity Forecast. Analysis of historical usage of fire management resources since 2004 was blended with numbers of reported ignitions and resulting large fires to model resource demand when similar conditions repeat themselves in the future.</w:t>
      </w:r>
    </w:p>
    <w:p>
      <w:pPr>
        <w:pStyle w:val="BodyText"/>
      </w:pPr>
    </w:p>
    <w:p>
      <w:pPr>
        <w:pStyle w:val="BodyText"/>
        <w:spacing w:line="480" w:lineRule="auto"/>
        <w:ind w:left="2131" w:right="1898" w:hanging="53"/>
      </w:pPr>
      <w:r>
        <w:rPr/>
        <w:t>NWCC’s daily Regional Preparedness Level Forecast is available at: </w:t>
      </w:r>
      <w:hyperlink r:id="rId33">
        <w:r>
          <w:rPr>
            <w:color w:val="0000FF"/>
            <w:u w:val="single" w:color="0000FF"/>
          </w:rPr>
          <w:t>http://gacc.nifc.gov/nwcc/brief</w:t>
        </w:r>
      </w:hyperlink>
    </w:p>
    <w:p>
      <w:pPr>
        <w:pStyle w:val="Heading6"/>
        <w:numPr>
          <w:ilvl w:val="0"/>
          <w:numId w:val="3"/>
        </w:numPr>
        <w:tabs>
          <w:tab w:pos="2080" w:val="left" w:leader="none"/>
        </w:tabs>
        <w:spacing w:line="240" w:lineRule="auto" w:before="46" w:after="0"/>
        <w:ind w:left="2079" w:right="0" w:hanging="360"/>
        <w:jc w:val="left"/>
      </w:pPr>
      <w:r>
        <w:rPr/>
        <w:t>Monthly and Seasonal Significant Fire Potential</w:t>
      </w:r>
      <w:r>
        <w:rPr>
          <w:spacing w:val="-8"/>
        </w:rPr>
        <w:t> </w:t>
      </w:r>
      <w:r>
        <w:rPr/>
        <w:t>Outlooks</w:t>
      </w:r>
    </w:p>
    <w:p>
      <w:pPr>
        <w:pStyle w:val="BodyText"/>
        <w:spacing w:before="11"/>
        <w:rPr>
          <w:b/>
          <w:sz w:val="23"/>
        </w:rPr>
      </w:pPr>
    </w:p>
    <w:p>
      <w:pPr>
        <w:pStyle w:val="BodyText"/>
        <w:ind w:left="2079" w:right="926"/>
      </w:pPr>
      <w:r>
        <w:rPr/>
        <w:t>The Monthly and Seasonal significant Fire Potential outlook identifies geographic regions across the US likely to expect above-average, average, or below-average significant fire load during the following four months.</w:t>
      </w:r>
    </w:p>
    <w:p>
      <w:pPr>
        <w:pStyle w:val="BodyText"/>
        <w:ind w:left="2079" w:right="976"/>
      </w:pPr>
      <w:r>
        <w:rPr/>
        <w:t>Significant fires are defined as those severe enough to require mobilization of firefighting resources from outside the area the fire originates.</w:t>
      </w:r>
    </w:p>
    <w:p>
      <w:pPr>
        <w:pStyle w:val="BodyText"/>
      </w:pPr>
    </w:p>
    <w:p>
      <w:pPr>
        <w:pStyle w:val="BodyText"/>
        <w:ind w:left="2079" w:right="1950" w:firstLine="40"/>
      </w:pPr>
      <w:hyperlink r:id="rId34">
        <w:r>
          <w:rPr>
            <w:color w:val="0000FF"/>
            <w:u w:val="single" w:color="0000FF"/>
          </w:rPr>
          <w:t>http://gacc.nifc.gov/nwcc/content/products/fwx/MonthlySeasonal.pdf</w:t>
        </w:r>
      </w:hyperlink>
      <w:r>
        <w:rPr>
          <w:color w:val="0000FF"/>
        </w:rPr>
        <w:t> </w:t>
      </w:r>
      <w:hyperlink r:id="rId35">
        <w:r>
          <w:rPr>
            <w:color w:val="0000FF"/>
            <w:u w:val="single" w:color="0000FF"/>
          </w:rPr>
          <w:t>http://gacc.nifc.gov/nwcc/content/products/fwx/MonthlySeasonal.ppt</w:t>
        </w:r>
      </w:hyperlink>
    </w:p>
    <w:p>
      <w:pPr>
        <w:spacing w:after="0"/>
        <w:sectPr>
          <w:pgSz w:w="12240" w:h="15840"/>
          <w:pgMar w:header="0" w:footer="999" w:top="1500" w:bottom="1240" w:left="340" w:right="620"/>
        </w:sectPr>
      </w:pPr>
    </w:p>
    <w:p>
      <w:pPr>
        <w:pStyle w:val="BodyText"/>
        <w:spacing w:before="132"/>
        <w:ind w:left="2079" w:right="1950"/>
      </w:pPr>
      <w:r>
        <w:rPr/>
        <w:t>NWCC’s narrated audio/video webcast of the Monthly and Seasonal Significant Fire Potential outlook is routinely updated at:</w:t>
      </w:r>
    </w:p>
    <w:p>
      <w:pPr>
        <w:pStyle w:val="BodyText"/>
      </w:pPr>
    </w:p>
    <w:p>
      <w:pPr>
        <w:pStyle w:val="BodyText"/>
        <w:ind w:left="2079"/>
      </w:pPr>
      <w:hyperlink r:id="rId36">
        <w:r>
          <w:rPr>
            <w:color w:val="0000FF"/>
            <w:u w:val="single" w:color="0000FF"/>
          </w:rPr>
          <w:t>http://gacc.nifc.gov/nwcc/content/videos/Monthly_Seasonal.mp4</w:t>
        </w:r>
      </w:hyperlink>
    </w:p>
    <w:p>
      <w:pPr>
        <w:pStyle w:val="BodyText"/>
        <w:rPr>
          <w:sz w:val="16"/>
        </w:rPr>
      </w:pPr>
    </w:p>
    <w:p>
      <w:pPr>
        <w:pStyle w:val="BodyText"/>
        <w:spacing w:before="92"/>
        <w:ind w:left="2079" w:right="1216"/>
      </w:pPr>
      <w:r>
        <w:rPr/>
        <w:t>Monthly and Seasonal outlooks (maps and narratives) for the entire US are at:</w:t>
      </w:r>
    </w:p>
    <w:p>
      <w:pPr>
        <w:pStyle w:val="BodyText"/>
      </w:pPr>
    </w:p>
    <w:p>
      <w:pPr>
        <w:pStyle w:val="BodyText"/>
        <w:ind w:left="2079"/>
      </w:pPr>
      <w:hyperlink r:id="rId37">
        <w:r>
          <w:rPr>
            <w:color w:val="0000FF"/>
            <w:u w:val="single" w:color="0000FF"/>
          </w:rPr>
          <w:t>http://www.predictiveservices.nifc.gov/outlooks/outlooks.htm</w:t>
        </w:r>
      </w:hyperlink>
    </w:p>
    <w:p>
      <w:pPr>
        <w:pStyle w:val="BodyText"/>
        <w:spacing w:before="1"/>
      </w:pPr>
    </w:p>
    <w:p>
      <w:pPr>
        <w:pStyle w:val="Heading6"/>
        <w:numPr>
          <w:ilvl w:val="0"/>
          <w:numId w:val="3"/>
        </w:numPr>
        <w:tabs>
          <w:tab w:pos="2080" w:val="left" w:leader="none"/>
        </w:tabs>
        <w:spacing w:line="240" w:lineRule="auto" w:before="0" w:after="0"/>
        <w:ind w:left="2079" w:right="0" w:hanging="360"/>
        <w:jc w:val="left"/>
      </w:pPr>
      <w:r>
        <w:rPr/>
        <w:t>Fire Behavior and Fuels</w:t>
      </w:r>
      <w:r>
        <w:rPr>
          <w:spacing w:val="-1"/>
        </w:rPr>
        <w:t> </w:t>
      </w:r>
      <w:r>
        <w:rPr/>
        <w:t>Advisories</w:t>
      </w:r>
    </w:p>
    <w:p>
      <w:pPr>
        <w:pStyle w:val="BodyText"/>
        <w:spacing w:before="10"/>
        <w:rPr>
          <w:b/>
          <w:sz w:val="23"/>
        </w:rPr>
      </w:pPr>
    </w:p>
    <w:p>
      <w:pPr>
        <w:pStyle w:val="BodyText"/>
        <w:spacing w:before="1"/>
        <w:ind w:left="2079" w:right="936"/>
      </w:pPr>
      <w:r>
        <w:rPr/>
        <w:t>When fire behavior is known or anticipated to be severe over a large section of the Geographic Area Predictive Services assists in the issuance of any fuels/fire behavior advisories. Fire Behavior and Fuels advisories can be seen at:</w:t>
      </w:r>
    </w:p>
    <w:p>
      <w:pPr>
        <w:pStyle w:val="BodyText"/>
        <w:spacing w:before="11"/>
        <w:rPr>
          <w:sz w:val="23"/>
        </w:rPr>
      </w:pPr>
    </w:p>
    <w:p>
      <w:pPr>
        <w:pStyle w:val="BodyText"/>
        <w:ind w:left="2079" w:right="3952"/>
      </w:pPr>
      <w:hyperlink r:id="rId38">
        <w:r>
          <w:rPr>
            <w:color w:val="0000FF"/>
            <w:u w:val="single" w:color="0000FF"/>
          </w:rPr>
          <w:t>https://www.predictiveservices.nifc.gov/fuels_fire-</w:t>
        </w:r>
      </w:hyperlink>
      <w:r>
        <w:rPr>
          <w:color w:val="0000FF"/>
        </w:rPr>
        <w:t> </w:t>
      </w:r>
      <w:hyperlink r:id="rId38">
        <w:r>
          <w:rPr>
            <w:color w:val="0000FF"/>
            <w:u w:val="single" w:color="0000FF"/>
          </w:rPr>
          <w:t>danger/Fuels_FireBehavior_Advisories.png</w:t>
        </w:r>
      </w:hyperlink>
    </w:p>
    <w:p>
      <w:pPr>
        <w:pStyle w:val="BodyText"/>
        <w:rPr>
          <w:sz w:val="20"/>
        </w:rPr>
      </w:pPr>
    </w:p>
    <w:p>
      <w:pPr>
        <w:pStyle w:val="BodyText"/>
        <w:spacing w:before="1"/>
        <w:rPr>
          <w:sz w:val="20"/>
        </w:rPr>
      </w:pPr>
    </w:p>
    <w:p>
      <w:pPr>
        <w:pStyle w:val="Heading6"/>
        <w:numPr>
          <w:ilvl w:val="0"/>
          <w:numId w:val="3"/>
        </w:numPr>
        <w:tabs>
          <w:tab w:pos="2080" w:val="left" w:leader="none"/>
        </w:tabs>
        <w:spacing w:line="240" w:lineRule="auto" w:before="92" w:after="0"/>
        <w:ind w:left="2079" w:right="0" w:hanging="360"/>
        <w:jc w:val="left"/>
      </w:pPr>
      <w:r>
        <w:rPr/>
        <w:t>Fuels and Fire Danger</w:t>
      </w:r>
      <w:r>
        <w:rPr>
          <w:spacing w:val="-1"/>
        </w:rPr>
        <w:t> </w:t>
      </w:r>
      <w:r>
        <w:rPr/>
        <w:t>Information</w:t>
      </w:r>
    </w:p>
    <w:p>
      <w:pPr>
        <w:pStyle w:val="BodyText"/>
        <w:spacing w:before="10"/>
        <w:rPr>
          <w:b/>
          <w:sz w:val="23"/>
        </w:rPr>
      </w:pPr>
    </w:p>
    <w:p>
      <w:pPr>
        <w:pStyle w:val="BodyText"/>
        <w:ind w:left="2079" w:right="1816"/>
      </w:pPr>
      <w:r>
        <w:rPr/>
        <w:t>Links to fuels and fire danger related information used to evaluate fire potential are located here.</w:t>
      </w:r>
    </w:p>
    <w:p>
      <w:pPr>
        <w:pStyle w:val="BodyText"/>
      </w:pPr>
    </w:p>
    <w:p>
      <w:pPr>
        <w:pStyle w:val="BodyText"/>
        <w:ind w:left="2079"/>
      </w:pPr>
      <w:hyperlink r:id="rId39">
        <w:r>
          <w:rPr>
            <w:color w:val="0000FF"/>
            <w:u w:val="single" w:color="0000FF"/>
          </w:rPr>
          <w:t>https://gacc.nifc.gov/nwcc/predict/fire_fuel.aspx</w:t>
        </w:r>
      </w:hyperlink>
    </w:p>
    <w:p>
      <w:pPr>
        <w:pStyle w:val="BodyText"/>
        <w:spacing w:before="1"/>
      </w:pPr>
    </w:p>
    <w:p>
      <w:pPr>
        <w:pStyle w:val="Heading6"/>
        <w:numPr>
          <w:ilvl w:val="0"/>
          <w:numId w:val="3"/>
        </w:numPr>
        <w:tabs>
          <w:tab w:pos="2080" w:val="left" w:leader="none"/>
        </w:tabs>
        <w:spacing w:line="240" w:lineRule="auto" w:before="0" w:after="0"/>
        <w:ind w:left="2079" w:right="0" w:hanging="360"/>
        <w:jc w:val="left"/>
      </w:pPr>
      <w:r>
        <w:rPr/>
        <w:t>Intelligence</w:t>
      </w:r>
      <w:r>
        <w:rPr>
          <w:spacing w:val="-3"/>
        </w:rPr>
        <w:t> </w:t>
      </w:r>
      <w:r>
        <w:rPr/>
        <w:t>reports</w:t>
      </w:r>
    </w:p>
    <w:p>
      <w:pPr>
        <w:pStyle w:val="BodyText"/>
        <w:spacing w:before="10"/>
        <w:rPr>
          <w:b/>
          <w:sz w:val="23"/>
        </w:rPr>
      </w:pPr>
    </w:p>
    <w:p>
      <w:pPr>
        <w:pStyle w:val="BodyText"/>
        <w:spacing w:before="1"/>
        <w:ind w:left="2079" w:right="1150"/>
      </w:pPr>
      <w:r>
        <w:rPr/>
        <w:t>During fire season NWCC’s Predictive Services intelligence unit publishes daily updates of fire activity, resource status, situation reports, and large fire maps at:</w:t>
      </w:r>
    </w:p>
    <w:p>
      <w:pPr>
        <w:pStyle w:val="BodyText"/>
      </w:pPr>
    </w:p>
    <w:p>
      <w:pPr>
        <w:pStyle w:val="BodyText"/>
        <w:ind w:left="2079"/>
      </w:pPr>
      <w:hyperlink r:id="rId40">
        <w:r>
          <w:rPr>
            <w:color w:val="0000FF"/>
            <w:u w:val="single" w:color="0000FF"/>
          </w:rPr>
          <w:t>https://gacc.nifc.gov/nwcc/predict/intelligence.aspx</w:t>
        </w:r>
      </w:hyperlink>
    </w:p>
    <w:p>
      <w:pPr>
        <w:pStyle w:val="BodyText"/>
        <w:rPr>
          <w:sz w:val="20"/>
        </w:rPr>
      </w:pPr>
    </w:p>
    <w:p>
      <w:pPr>
        <w:pStyle w:val="BodyText"/>
        <w:spacing w:before="1"/>
        <w:rPr>
          <w:sz w:val="20"/>
        </w:rPr>
      </w:pPr>
    </w:p>
    <w:p>
      <w:pPr>
        <w:pStyle w:val="Heading6"/>
        <w:numPr>
          <w:ilvl w:val="0"/>
          <w:numId w:val="3"/>
        </w:numPr>
        <w:tabs>
          <w:tab w:pos="2080" w:val="left" w:leader="none"/>
        </w:tabs>
        <w:spacing w:line="240" w:lineRule="auto" w:before="92" w:after="0"/>
        <w:ind w:left="2079" w:right="0" w:hanging="360"/>
        <w:jc w:val="left"/>
      </w:pPr>
      <w:r>
        <w:rPr/>
        <w:t>GIS</w:t>
      </w:r>
    </w:p>
    <w:p>
      <w:pPr>
        <w:pStyle w:val="BodyText"/>
        <w:spacing w:before="10"/>
        <w:rPr>
          <w:b/>
          <w:sz w:val="23"/>
        </w:rPr>
      </w:pPr>
    </w:p>
    <w:p>
      <w:pPr>
        <w:pStyle w:val="BodyText"/>
        <w:ind w:left="2079" w:right="1219"/>
        <w:jc w:val="both"/>
      </w:pPr>
      <w:r>
        <w:rPr/>
        <w:t>NWCC’s Predictive Services Geographic Information Systems unit gathers, decodes archives, and plots a plethora of fire and weather information daily during fire season. This includes:</w:t>
      </w:r>
    </w:p>
    <w:p>
      <w:pPr>
        <w:pStyle w:val="BodyText"/>
        <w:spacing w:before="1"/>
      </w:pPr>
    </w:p>
    <w:p>
      <w:pPr>
        <w:pStyle w:val="ListParagraph"/>
        <w:numPr>
          <w:ilvl w:val="1"/>
          <w:numId w:val="3"/>
        </w:numPr>
        <w:tabs>
          <w:tab w:pos="3159" w:val="left" w:leader="none"/>
          <w:tab w:pos="3160" w:val="left" w:leader="none"/>
        </w:tabs>
        <w:spacing w:line="293" w:lineRule="exact" w:before="0" w:after="0"/>
        <w:ind w:left="3159" w:right="0" w:hanging="360"/>
        <w:jc w:val="left"/>
        <w:rPr>
          <w:sz w:val="24"/>
        </w:rPr>
      </w:pPr>
      <w:r>
        <w:rPr>
          <w:sz w:val="24"/>
        </w:rPr>
        <w:t>Active fire mapping and fire perimeters in Google</w:t>
      </w:r>
      <w:r>
        <w:rPr>
          <w:spacing w:val="-4"/>
          <w:sz w:val="24"/>
        </w:rPr>
        <w:t> </w:t>
      </w:r>
      <w:r>
        <w:rPr>
          <w:sz w:val="24"/>
        </w:rPr>
        <w:t>Earth</w:t>
      </w:r>
    </w:p>
    <w:p>
      <w:pPr>
        <w:pStyle w:val="ListParagraph"/>
        <w:numPr>
          <w:ilvl w:val="1"/>
          <w:numId w:val="3"/>
        </w:numPr>
        <w:tabs>
          <w:tab w:pos="3159" w:val="left" w:leader="none"/>
          <w:tab w:pos="3160" w:val="left" w:leader="none"/>
        </w:tabs>
        <w:spacing w:line="292" w:lineRule="exact" w:before="0" w:after="0"/>
        <w:ind w:left="3159" w:right="0" w:hanging="360"/>
        <w:jc w:val="left"/>
        <w:rPr>
          <w:sz w:val="24"/>
        </w:rPr>
      </w:pPr>
      <w:r>
        <w:rPr>
          <w:sz w:val="24"/>
        </w:rPr>
        <w:t>NFDRS summary</w:t>
      </w:r>
      <w:r>
        <w:rPr>
          <w:spacing w:val="-2"/>
          <w:sz w:val="24"/>
        </w:rPr>
        <w:t> </w:t>
      </w:r>
      <w:r>
        <w:rPr>
          <w:sz w:val="24"/>
        </w:rPr>
        <w:t>maps</w:t>
      </w:r>
    </w:p>
    <w:p>
      <w:pPr>
        <w:pStyle w:val="ListParagraph"/>
        <w:numPr>
          <w:ilvl w:val="1"/>
          <w:numId w:val="3"/>
        </w:numPr>
        <w:tabs>
          <w:tab w:pos="3159" w:val="left" w:leader="none"/>
          <w:tab w:pos="3160" w:val="left" w:leader="none"/>
        </w:tabs>
        <w:spacing w:line="292" w:lineRule="exact" w:before="0" w:after="0"/>
        <w:ind w:left="3159" w:right="0" w:hanging="360"/>
        <w:jc w:val="left"/>
        <w:rPr>
          <w:sz w:val="24"/>
        </w:rPr>
      </w:pPr>
      <w:r>
        <w:rPr>
          <w:sz w:val="24"/>
        </w:rPr>
        <w:t>Daily lightning</w:t>
      </w:r>
      <w:r>
        <w:rPr>
          <w:spacing w:val="-4"/>
          <w:sz w:val="24"/>
        </w:rPr>
        <w:t> </w:t>
      </w:r>
      <w:r>
        <w:rPr>
          <w:sz w:val="24"/>
        </w:rPr>
        <w:t>strikes</w:t>
      </w:r>
    </w:p>
    <w:p>
      <w:pPr>
        <w:spacing w:after="0" w:line="292" w:lineRule="exact"/>
        <w:jc w:val="left"/>
        <w:rPr>
          <w:sz w:val="24"/>
        </w:rPr>
        <w:sectPr>
          <w:pgSz w:w="12240" w:h="15840"/>
          <w:pgMar w:header="0" w:footer="999" w:top="1500" w:bottom="1180" w:left="340" w:right="620"/>
        </w:sectPr>
      </w:pPr>
    </w:p>
    <w:p>
      <w:pPr>
        <w:pStyle w:val="ListParagraph"/>
        <w:numPr>
          <w:ilvl w:val="1"/>
          <w:numId w:val="3"/>
        </w:numPr>
        <w:tabs>
          <w:tab w:pos="3159" w:val="left" w:leader="none"/>
          <w:tab w:pos="3160" w:val="left" w:leader="none"/>
        </w:tabs>
        <w:spacing w:line="240" w:lineRule="auto" w:before="77" w:after="0"/>
        <w:ind w:left="3159" w:right="0" w:hanging="360"/>
        <w:jc w:val="left"/>
        <w:rPr>
          <w:sz w:val="24"/>
        </w:rPr>
      </w:pPr>
      <w:r>
        <w:rPr>
          <w:sz w:val="24"/>
        </w:rPr>
        <w:t>Daily rainfall total</w:t>
      </w:r>
      <w:r>
        <w:rPr>
          <w:spacing w:val="-3"/>
          <w:sz w:val="24"/>
        </w:rPr>
        <w:t> </w:t>
      </w:r>
      <w:r>
        <w:rPr>
          <w:sz w:val="24"/>
        </w:rPr>
        <w:t>maps</w:t>
      </w:r>
    </w:p>
    <w:p>
      <w:pPr>
        <w:pStyle w:val="BodyText"/>
        <w:rPr>
          <w:sz w:val="28"/>
        </w:rPr>
      </w:pPr>
    </w:p>
    <w:p>
      <w:pPr>
        <w:pStyle w:val="BodyText"/>
        <w:spacing w:line="480" w:lineRule="auto" w:before="226"/>
        <w:ind w:left="2079" w:right="143"/>
      </w:pPr>
      <w:r>
        <w:rPr/>
        <w:t>Further documentation of NWCC’s GIS unit can be accessed at: </w:t>
      </w:r>
      <w:hyperlink r:id="rId41">
        <w:r>
          <w:rPr>
            <w:color w:val="0000FF"/>
            <w:u w:val="single" w:color="0000FF"/>
          </w:rPr>
          <w:t>https://gacc.nifc.gov/nwcc/predict/gis.aspx</w:t>
        </w:r>
      </w:hyperlink>
    </w:p>
    <w:p>
      <w:pPr>
        <w:pStyle w:val="Heading6"/>
        <w:numPr>
          <w:ilvl w:val="0"/>
          <w:numId w:val="3"/>
        </w:numPr>
        <w:tabs>
          <w:tab w:pos="2080" w:val="left" w:leader="none"/>
        </w:tabs>
        <w:spacing w:line="240" w:lineRule="auto" w:before="1" w:after="0"/>
        <w:ind w:left="2079" w:right="1027" w:hanging="360"/>
        <w:jc w:val="left"/>
      </w:pPr>
      <w:r>
        <w:rPr/>
        <w:t>NWCC Predictive Services Fire Danger Rating Operating Plan and Supporting</w:t>
      </w:r>
      <w:r>
        <w:rPr>
          <w:spacing w:val="-1"/>
        </w:rPr>
        <w:t> </w:t>
      </w:r>
      <w:r>
        <w:rPr/>
        <w:t>Documentation.</w:t>
      </w:r>
    </w:p>
    <w:p>
      <w:pPr>
        <w:pStyle w:val="BodyText"/>
        <w:rPr>
          <w:b/>
        </w:rPr>
      </w:pPr>
    </w:p>
    <w:p>
      <w:pPr>
        <w:pStyle w:val="BodyText"/>
        <w:ind w:left="2079" w:right="1137"/>
      </w:pPr>
      <w:r>
        <w:rPr/>
        <w:t>A detailed explanation of NWCC Predictive Services’ fire potential system is at:</w:t>
      </w:r>
    </w:p>
    <w:p>
      <w:pPr>
        <w:pStyle w:val="BodyText"/>
      </w:pPr>
    </w:p>
    <w:p>
      <w:pPr>
        <w:pStyle w:val="BodyText"/>
        <w:ind w:left="2079"/>
      </w:pPr>
      <w:hyperlink r:id="rId42">
        <w:r>
          <w:rPr>
            <w:color w:val="0000FF"/>
            <w:u w:val="single" w:color="0000FF"/>
          </w:rPr>
          <w:t>https://gacc.nifc.gov/nwcc/content/products/fwx/fdrop/FDROP.pdf</w:t>
        </w:r>
      </w:hyperlink>
    </w:p>
    <w:p>
      <w:pPr>
        <w:spacing w:after="0"/>
        <w:sectPr>
          <w:pgSz w:w="12240" w:h="15840"/>
          <w:pgMar w:header="0" w:footer="999" w:top="1280" w:bottom="1240" w:left="340" w:right="620"/>
        </w:sectPr>
      </w:pPr>
    </w:p>
    <w:p>
      <w:pPr>
        <w:pStyle w:val="BodyText"/>
        <w:rPr>
          <w:sz w:val="20"/>
        </w:rPr>
      </w:pPr>
    </w:p>
    <w:p>
      <w:pPr>
        <w:pStyle w:val="BodyText"/>
        <w:rPr>
          <w:sz w:val="20"/>
        </w:rPr>
      </w:pPr>
    </w:p>
    <w:p>
      <w:pPr>
        <w:pStyle w:val="BodyText"/>
        <w:rPr>
          <w:sz w:val="20"/>
        </w:rPr>
      </w:pPr>
    </w:p>
    <w:p>
      <w:pPr>
        <w:pStyle w:val="BodyText"/>
        <w:spacing w:before="8"/>
        <w:rPr>
          <w:sz w:val="15"/>
        </w:rPr>
      </w:pPr>
    </w:p>
    <w:p>
      <w:pPr>
        <w:pStyle w:val="Heading5"/>
        <w:spacing w:before="89"/>
        <w:ind w:left="2753"/>
        <w:rPr>
          <w:u w:val="none"/>
        </w:rPr>
      </w:pPr>
      <w:r>
        <w:rPr>
          <w:u w:val="thick"/>
        </w:rPr>
        <w:t>PREDICTIVE SERVICE AREAS (PSAs)</w:t>
      </w:r>
    </w:p>
    <w:p>
      <w:pPr>
        <w:pStyle w:val="BodyText"/>
        <w:rPr>
          <w:b/>
          <w:sz w:val="20"/>
        </w:rPr>
      </w:pPr>
    </w:p>
    <w:p>
      <w:pPr>
        <w:pStyle w:val="BodyText"/>
        <w:spacing w:before="5"/>
        <w:rPr>
          <w:b/>
          <w:sz w:val="13"/>
        </w:rPr>
      </w:pPr>
      <w:r>
        <w:rPr/>
        <w:drawing>
          <wp:anchor distT="0" distB="0" distL="0" distR="0" allowOverlap="1" layoutInCell="1" locked="0" behindDoc="0" simplePos="0" relativeHeight="1096">
            <wp:simplePos x="0" y="0"/>
            <wp:positionH relativeFrom="page">
              <wp:posOffset>1668807</wp:posOffset>
            </wp:positionH>
            <wp:positionV relativeFrom="paragraph">
              <wp:posOffset>122912</wp:posOffset>
            </wp:positionV>
            <wp:extent cx="4326601" cy="5431536"/>
            <wp:effectExtent l="0" t="0" r="0" b="0"/>
            <wp:wrapTopAndBottom/>
            <wp:docPr id="7" name="image9.jpeg" descr="O:\fwx\john\data\Map Type Project\PSA_Key_RAWS_2014 (2).jpg"/>
            <wp:cNvGraphicFramePr>
              <a:graphicFrameLocks noChangeAspect="1"/>
            </wp:cNvGraphicFramePr>
            <a:graphic>
              <a:graphicData uri="http://schemas.openxmlformats.org/drawingml/2006/picture">
                <pic:pic>
                  <pic:nvPicPr>
                    <pic:cNvPr id="8" name="image9.jpeg"/>
                    <pic:cNvPicPr/>
                  </pic:nvPicPr>
                  <pic:blipFill>
                    <a:blip r:embed="rId43" cstate="print"/>
                    <a:stretch>
                      <a:fillRect/>
                    </a:stretch>
                  </pic:blipFill>
                  <pic:spPr>
                    <a:xfrm>
                      <a:off x="0" y="0"/>
                      <a:ext cx="4326601" cy="5431536"/>
                    </a:xfrm>
                    <a:prstGeom prst="rect">
                      <a:avLst/>
                    </a:prstGeom>
                  </pic:spPr>
                </pic:pic>
              </a:graphicData>
            </a:graphic>
          </wp:anchor>
        </w:drawing>
      </w:r>
    </w:p>
    <w:p>
      <w:pPr>
        <w:pStyle w:val="BodyText"/>
        <w:rPr>
          <w:b/>
          <w:sz w:val="20"/>
        </w:rPr>
      </w:pPr>
    </w:p>
    <w:p>
      <w:pPr>
        <w:pStyle w:val="BodyText"/>
        <w:rPr>
          <w:b/>
        </w:rPr>
      </w:pPr>
    </w:p>
    <w:p>
      <w:pPr>
        <w:pStyle w:val="BodyText"/>
        <w:spacing w:before="93"/>
        <w:ind w:left="999" w:right="1003"/>
      </w:pPr>
      <w:r>
        <w:rPr/>
        <w:t>Twelve Predictive Service Areas (PSAs) were designated from a climatological study of daily relative humidity fluctuations over a period of more than a decade. Within each PSA “key” NFDRS sites have been selected to contribute to daily evaluations of fire danger averaged across each PSA. All key stations are given equal weighting as an NFDRS “sig” group. ‘Key’ NFDRS sites were determined by an objective study that compared stations and identified redundancy..</w:t>
      </w:r>
    </w:p>
    <w:p>
      <w:pPr>
        <w:spacing w:after="0"/>
        <w:sectPr>
          <w:pgSz w:w="12240" w:h="15840"/>
          <w:pgMar w:header="0" w:footer="999" w:top="1500" w:bottom="1240" w:left="340" w:right="620"/>
        </w:sectPr>
      </w:pPr>
    </w:p>
    <w:p>
      <w:pPr>
        <w:pStyle w:val="BodyText"/>
        <w:spacing w:before="76"/>
        <w:ind w:left="999" w:right="1109"/>
      </w:pPr>
      <w:r>
        <w:rPr/>
        <w:t>Most of NWCC’s Predictive Service fire potential products are based on these PSAs. Note that PSAs do not correspond to fire dispatch area perimeters, agency ownership, or political boundaries. They simply reflect large scale daily weather and fire danger fluctuations.</w:t>
      </w:r>
    </w:p>
    <w:p>
      <w:pPr>
        <w:pStyle w:val="BodyText"/>
        <w:spacing w:before="79"/>
        <w:ind w:left="999" w:right="1109"/>
      </w:pPr>
      <w:r>
        <w:rPr/>
        <w:t>Most of NWCC’s Predictive Service fire potential products are based on these PSAs. Note that PSAs do not correspond to fire dispatch area perimeters, agency ownership, or political boundaries. They simply reflect large scale daily weather and fire danger fluctuations.</w:t>
      </w:r>
    </w:p>
    <w:p>
      <w:pPr>
        <w:spacing w:after="0"/>
        <w:sectPr>
          <w:pgSz w:w="12240" w:h="15840"/>
          <w:pgMar w:header="0" w:footer="999" w:top="1280" w:bottom="1240" w:left="340" w:right="620"/>
        </w:sectPr>
      </w:pPr>
    </w:p>
    <w:p>
      <w:pPr>
        <w:pStyle w:val="BodyText"/>
        <w:rPr>
          <w:sz w:val="20"/>
        </w:rPr>
      </w:pPr>
    </w:p>
    <w:p>
      <w:pPr>
        <w:spacing w:before="234"/>
        <w:ind w:left="3173" w:right="143" w:firstLine="0"/>
        <w:jc w:val="left"/>
        <w:rPr>
          <w:b/>
          <w:sz w:val="44"/>
        </w:rPr>
      </w:pPr>
      <w:r>
        <w:rPr/>
        <w:drawing>
          <wp:anchor distT="0" distB="0" distL="0" distR="0" allowOverlap="1" layoutInCell="1" locked="0" behindDoc="0" simplePos="0" relativeHeight="1120">
            <wp:simplePos x="0" y="0"/>
            <wp:positionH relativeFrom="page">
              <wp:posOffset>739774</wp:posOffset>
            </wp:positionH>
            <wp:positionV relativeFrom="paragraph">
              <wp:posOffset>-149291</wp:posOffset>
            </wp:positionV>
            <wp:extent cx="1218564" cy="1218564"/>
            <wp:effectExtent l="0" t="0" r="0" b="0"/>
            <wp:wrapNone/>
            <wp:docPr id="9" name="image3.png" descr=""/>
            <wp:cNvGraphicFramePr>
              <a:graphicFrameLocks noChangeAspect="1"/>
            </wp:cNvGraphicFramePr>
            <a:graphic>
              <a:graphicData uri="http://schemas.openxmlformats.org/drawingml/2006/picture">
                <pic:pic>
                  <pic:nvPicPr>
                    <pic:cNvPr id="10" name="image3.png"/>
                    <pic:cNvPicPr/>
                  </pic:nvPicPr>
                  <pic:blipFill>
                    <a:blip r:embed="rId7" cstate="print"/>
                    <a:stretch>
                      <a:fillRect/>
                    </a:stretch>
                  </pic:blipFill>
                  <pic:spPr>
                    <a:xfrm>
                      <a:off x="0" y="0"/>
                      <a:ext cx="1218564" cy="1218564"/>
                    </a:xfrm>
                    <a:prstGeom prst="rect">
                      <a:avLst/>
                    </a:prstGeom>
                  </pic:spPr>
                </pic:pic>
              </a:graphicData>
            </a:graphic>
          </wp:anchor>
        </w:drawing>
      </w:r>
      <w:bookmarkStart w:name="_bookmark9" w:id="41"/>
      <w:bookmarkEnd w:id="41"/>
      <w:r>
        <w:rPr/>
      </w:r>
      <w:r>
        <w:rPr>
          <w:b/>
          <w:sz w:val="44"/>
          <w:u w:val="thick"/>
        </w:rPr>
        <w:t>NATIONAL WEATHER SERVICE</w:t>
      </w:r>
      <w:r>
        <w:rPr>
          <w:b/>
          <w:sz w:val="44"/>
        </w:rPr>
        <w:t> </w:t>
      </w:r>
      <w:r>
        <w:rPr>
          <w:b/>
          <w:sz w:val="44"/>
          <w:u w:val="thick"/>
        </w:rPr>
        <w:t>BOISE</w:t>
      </w:r>
    </w:p>
    <w:p>
      <w:pPr>
        <w:pStyle w:val="BodyText"/>
        <w:rPr>
          <w:b/>
          <w:sz w:val="20"/>
        </w:rPr>
      </w:pPr>
    </w:p>
    <w:p>
      <w:pPr>
        <w:pStyle w:val="BodyText"/>
        <w:rPr>
          <w:b/>
          <w:sz w:val="20"/>
        </w:rPr>
      </w:pPr>
    </w:p>
    <w:p>
      <w:pPr>
        <w:pStyle w:val="BodyText"/>
        <w:rPr>
          <w:b/>
          <w:sz w:val="20"/>
        </w:rPr>
      </w:pPr>
    </w:p>
    <w:p>
      <w:pPr>
        <w:pStyle w:val="BodyText"/>
        <w:spacing w:before="7"/>
        <w:rPr>
          <w:b/>
          <w:sz w:val="19"/>
        </w:rPr>
      </w:pPr>
    </w:p>
    <w:p>
      <w:pPr>
        <w:pStyle w:val="Heading6"/>
        <w:spacing w:before="92"/>
        <w:ind w:left="3281"/>
      </w:pPr>
      <w:r>
        <w:rPr>
          <w:u w:val="thick"/>
        </w:rPr>
        <w:t>NATIONAL WEATHER SERVICE BOISE</w:t>
      </w:r>
    </w:p>
    <w:p>
      <w:pPr>
        <w:spacing w:before="269"/>
        <w:ind w:left="684" w:right="0" w:firstLine="0"/>
        <w:jc w:val="left"/>
        <w:rPr>
          <w:b/>
          <w:sz w:val="28"/>
        </w:rPr>
      </w:pPr>
      <w:r>
        <w:rPr>
          <w:b/>
          <w:sz w:val="28"/>
        </w:rPr>
        <w:t>WHAT’S NEW</w:t>
      </w:r>
    </w:p>
    <w:p>
      <w:pPr>
        <w:pStyle w:val="BodyText"/>
        <w:rPr>
          <w:b/>
          <w:sz w:val="20"/>
        </w:rPr>
      </w:pPr>
    </w:p>
    <w:p>
      <w:pPr>
        <w:pStyle w:val="BodyText"/>
        <w:spacing w:before="10"/>
        <w:rPr>
          <w:b/>
          <w:sz w:val="18"/>
        </w:rPr>
      </w:pPr>
    </w:p>
    <w:p>
      <w:pPr>
        <w:spacing w:before="92"/>
        <w:ind w:left="639" w:right="0" w:firstLine="0"/>
        <w:jc w:val="left"/>
        <w:rPr>
          <w:b/>
          <w:sz w:val="28"/>
        </w:rPr>
      </w:pPr>
      <w:r>
        <w:rPr>
          <w:b/>
          <w:sz w:val="28"/>
        </w:rPr>
        <w:t>HOURS OF OPERATION</w:t>
      </w:r>
    </w:p>
    <w:p>
      <w:pPr>
        <w:pStyle w:val="BodyText"/>
        <w:spacing w:before="7"/>
        <w:rPr>
          <w:b/>
          <w:sz w:val="23"/>
        </w:rPr>
      </w:pPr>
    </w:p>
    <w:p>
      <w:pPr>
        <w:spacing w:before="1"/>
        <w:ind w:left="638" w:right="143" w:firstLine="0"/>
        <w:jc w:val="left"/>
        <w:rPr>
          <w:sz w:val="22"/>
        </w:rPr>
      </w:pPr>
      <w:r>
        <w:rPr>
          <w:sz w:val="22"/>
        </w:rPr>
        <w:t>Once-a-day issuance of the Planning Forecast (FWF) will begin mid-May, but will be dependent on ongoing weather and fuel conditions. These forecasts will be issued Monday through Friday by 0730 PDT (0830 MDT).</w:t>
      </w:r>
    </w:p>
    <w:p>
      <w:pPr>
        <w:pStyle w:val="BodyText"/>
        <w:spacing w:before="9"/>
        <w:rPr>
          <w:sz w:val="21"/>
        </w:rPr>
      </w:pPr>
    </w:p>
    <w:p>
      <w:pPr>
        <w:spacing w:before="0"/>
        <w:ind w:left="638" w:right="265" w:firstLine="0"/>
        <w:jc w:val="left"/>
        <w:rPr>
          <w:sz w:val="22"/>
        </w:rPr>
      </w:pPr>
      <w:r>
        <w:rPr>
          <w:sz w:val="22"/>
        </w:rPr>
        <w:t>Starting dates for the full complement of fire weather products, including NFDRS Forecasts and twice-daily Planning Forecasts, will depend on variables such as fuel dryness and customer needs. This typically occurs by early June.</w:t>
      </w:r>
    </w:p>
    <w:p>
      <w:pPr>
        <w:pStyle w:val="BodyText"/>
        <w:spacing w:before="1"/>
        <w:rPr>
          <w:sz w:val="22"/>
        </w:rPr>
      </w:pPr>
    </w:p>
    <w:p>
      <w:pPr>
        <w:spacing w:before="0"/>
        <w:ind w:left="638" w:right="252" w:firstLine="0"/>
        <w:jc w:val="left"/>
        <w:rPr>
          <w:sz w:val="22"/>
        </w:rPr>
      </w:pPr>
      <w:r>
        <w:rPr>
          <w:sz w:val="22"/>
        </w:rPr>
        <w:t>Staff meteorologists are available anytime; 24 hours a day, 7 days a week. The fire weather desk is staffed from 0630 to 1430 PDT (0730 to 1530 MDT).</w:t>
      </w:r>
    </w:p>
    <w:p>
      <w:pPr>
        <w:pStyle w:val="BodyText"/>
      </w:pPr>
    </w:p>
    <w:p>
      <w:pPr>
        <w:pStyle w:val="BodyText"/>
        <w:spacing w:before="5"/>
        <w:rPr>
          <w:sz w:val="21"/>
        </w:rPr>
      </w:pPr>
    </w:p>
    <w:p>
      <w:pPr>
        <w:pStyle w:val="Heading6"/>
        <w:spacing w:before="1"/>
        <w:ind w:left="639"/>
      </w:pPr>
      <w:r>
        <w:rPr/>
        <w:t>STAFF AND CONTACT INFORMATION</w:t>
      </w:r>
    </w:p>
    <w:p>
      <w:pPr>
        <w:spacing w:before="267"/>
        <w:ind w:left="999" w:right="6205" w:firstLine="0"/>
        <w:jc w:val="left"/>
        <w:rPr>
          <w:sz w:val="24"/>
        </w:rPr>
      </w:pPr>
      <w:r>
        <w:rPr>
          <w:b/>
          <w:sz w:val="24"/>
        </w:rPr>
        <w:t>Boise Weather Forecast Office </w:t>
      </w:r>
      <w:r>
        <w:rPr>
          <w:sz w:val="24"/>
        </w:rPr>
        <w:t>NIFC – National Weather Service 3833 S. Development Ave., Bldg</w:t>
      </w:r>
      <w:r>
        <w:rPr>
          <w:spacing w:val="-17"/>
          <w:sz w:val="24"/>
        </w:rPr>
        <w:t> </w:t>
      </w:r>
      <w:r>
        <w:rPr>
          <w:sz w:val="24"/>
        </w:rPr>
        <w:t>3807</w:t>
      </w:r>
    </w:p>
    <w:p>
      <w:pPr>
        <w:pStyle w:val="BodyText"/>
        <w:ind w:left="999"/>
      </w:pPr>
      <w:r>
        <w:rPr/>
        <w:t>Boise, ID 83705-5354</w:t>
      </w:r>
    </w:p>
    <w:p>
      <w:pPr>
        <w:pStyle w:val="BodyText"/>
      </w:pPr>
    </w:p>
    <w:p>
      <w:pPr>
        <w:pStyle w:val="BodyText"/>
        <w:tabs>
          <w:tab w:pos="2151" w:val="left" w:leader="none"/>
        </w:tabs>
        <w:ind w:left="999"/>
      </w:pPr>
      <w:r>
        <w:rPr/>
        <w:t>Phone:</w:t>
        <w:tab/>
        <w:t>(208) 334-9060 / Fax (208)</w:t>
      </w:r>
      <w:r>
        <w:rPr>
          <w:spacing w:val="-5"/>
        </w:rPr>
        <w:t> </w:t>
      </w:r>
      <w:r>
        <w:rPr/>
        <w:t>334-1660</w:t>
      </w:r>
    </w:p>
    <w:p>
      <w:pPr>
        <w:pStyle w:val="BodyText"/>
        <w:ind w:left="999"/>
      </w:pPr>
      <w:r>
        <w:rPr/>
        <w:t>Fire Weather Webpage: </w:t>
      </w:r>
      <w:hyperlink r:id="rId45">
        <w:r>
          <w:rPr>
            <w:color w:val="0000FF"/>
            <w:u w:val="single" w:color="0000FF"/>
          </w:rPr>
          <w:t>http://www.wrh.noaa.gov/firewx/?wfo=boi</w:t>
        </w:r>
      </w:hyperlink>
    </w:p>
    <w:p>
      <w:pPr>
        <w:pStyle w:val="BodyText"/>
        <w:ind w:left="999" w:right="907"/>
      </w:pPr>
      <w:r>
        <w:rPr/>
        <w:t>Facebook Page: </w:t>
      </w:r>
      <w:hyperlink r:id="rId46">
        <w:r>
          <w:rPr>
            <w:color w:val="0000FF"/>
            <w:u w:val="single" w:color="0000FF"/>
          </w:rPr>
          <w:t>https://www.facebook.com/US.NationalWeatherService.Boise.gov</w:t>
        </w:r>
      </w:hyperlink>
      <w:r>
        <w:rPr>
          <w:color w:val="0000FF"/>
        </w:rPr>
        <w:t> </w:t>
      </w:r>
      <w:r>
        <w:rPr/>
        <w:t>Twitter Page:</w:t>
      </w:r>
      <w:r>
        <w:rPr>
          <w:spacing w:val="62"/>
        </w:rPr>
        <w:t> </w:t>
      </w:r>
      <w:hyperlink r:id="rId47">
        <w:r>
          <w:rPr>
            <w:color w:val="0000FF"/>
            <w:u w:val="single" w:color="0000FF"/>
          </w:rPr>
          <w:t>https://twitter.com/NWSBoise</w:t>
        </w:r>
      </w:hyperlink>
    </w:p>
    <w:p>
      <w:pPr>
        <w:pStyle w:val="BodyText"/>
        <w:ind w:left="999"/>
      </w:pPr>
      <w:r>
        <w:rPr/>
        <w:t>Twitter Handle:</w:t>
      </w:r>
      <w:r>
        <w:rPr>
          <w:spacing w:val="63"/>
        </w:rPr>
        <w:t> </w:t>
      </w:r>
      <w:r>
        <w:rPr/>
        <w:t>@NWSBoise</w:t>
      </w:r>
    </w:p>
    <w:p>
      <w:pPr>
        <w:pStyle w:val="BodyText"/>
        <w:rPr>
          <w:sz w:val="20"/>
        </w:rPr>
      </w:pPr>
    </w:p>
    <w:p>
      <w:pPr>
        <w:pStyle w:val="BodyText"/>
        <w:spacing w:before="8"/>
        <w:rPr>
          <w:sz w:val="28"/>
        </w:rPr>
      </w:pPr>
    </w:p>
    <w:tbl>
      <w:tblPr>
        <w:tblW w:w="0" w:type="auto"/>
        <w:jc w:val="left"/>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8"/>
        <w:gridCol w:w="4514"/>
        <w:gridCol w:w="3927"/>
      </w:tblGrid>
      <w:tr>
        <w:trPr>
          <w:trHeight w:val="272" w:hRule="atLeast"/>
        </w:trPr>
        <w:tc>
          <w:tcPr>
            <w:tcW w:w="2038" w:type="dxa"/>
          </w:tcPr>
          <w:p>
            <w:pPr>
              <w:pStyle w:val="TableParagraph"/>
              <w:spacing w:line="252" w:lineRule="exact"/>
              <w:ind w:left="50"/>
              <w:rPr>
                <w:sz w:val="24"/>
              </w:rPr>
            </w:pPr>
            <w:r>
              <w:rPr>
                <w:sz w:val="24"/>
                <w:u w:val="single"/>
              </w:rPr>
              <w:t>Name</w:t>
            </w:r>
          </w:p>
        </w:tc>
        <w:tc>
          <w:tcPr>
            <w:tcW w:w="4514" w:type="dxa"/>
          </w:tcPr>
          <w:p>
            <w:pPr>
              <w:pStyle w:val="TableParagraph"/>
              <w:spacing w:line="252" w:lineRule="exact"/>
              <w:ind w:left="1251"/>
              <w:rPr>
                <w:sz w:val="24"/>
              </w:rPr>
            </w:pPr>
            <w:r>
              <w:rPr>
                <w:sz w:val="24"/>
                <w:u w:val="single"/>
              </w:rPr>
              <w:t>Position</w:t>
            </w:r>
          </w:p>
        </w:tc>
        <w:tc>
          <w:tcPr>
            <w:tcW w:w="3927" w:type="dxa"/>
          </w:tcPr>
          <w:p>
            <w:pPr>
              <w:pStyle w:val="TableParagraph"/>
              <w:spacing w:line="252" w:lineRule="exact"/>
              <w:ind w:left="1891" w:right="1314"/>
              <w:jc w:val="center"/>
              <w:rPr>
                <w:sz w:val="24"/>
              </w:rPr>
            </w:pPr>
            <w:r>
              <w:rPr>
                <w:sz w:val="24"/>
                <w:u w:val="single"/>
              </w:rPr>
              <w:t>E-Mail</w:t>
            </w:r>
          </w:p>
        </w:tc>
      </w:tr>
      <w:tr>
        <w:trPr>
          <w:trHeight w:val="275" w:hRule="atLeast"/>
        </w:trPr>
        <w:tc>
          <w:tcPr>
            <w:tcW w:w="2038" w:type="dxa"/>
          </w:tcPr>
          <w:p>
            <w:pPr>
              <w:pStyle w:val="TableParagraph"/>
              <w:spacing w:line="256" w:lineRule="exact"/>
              <w:ind w:left="50"/>
              <w:rPr>
                <w:sz w:val="24"/>
              </w:rPr>
            </w:pPr>
            <w:r>
              <w:rPr>
                <w:sz w:val="24"/>
              </w:rPr>
              <w:t>Chuck Redman</w:t>
            </w:r>
          </w:p>
        </w:tc>
        <w:tc>
          <w:tcPr>
            <w:tcW w:w="4514" w:type="dxa"/>
          </w:tcPr>
          <w:p>
            <w:pPr>
              <w:pStyle w:val="TableParagraph"/>
              <w:spacing w:line="256" w:lineRule="exact"/>
              <w:ind w:left="347"/>
              <w:rPr>
                <w:sz w:val="24"/>
              </w:rPr>
            </w:pPr>
            <w:r>
              <w:rPr>
                <w:sz w:val="24"/>
              </w:rPr>
              <w:t>Fire Weather Program Leader/IMET</w:t>
            </w:r>
          </w:p>
        </w:tc>
        <w:tc>
          <w:tcPr>
            <w:tcW w:w="3927" w:type="dxa"/>
          </w:tcPr>
          <w:p>
            <w:pPr>
              <w:pStyle w:val="TableParagraph"/>
              <w:spacing w:line="256" w:lineRule="exact"/>
              <w:ind w:left="338"/>
              <w:rPr>
                <w:sz w:val="24"/>
              </w:rPr>
            </w:pPr>
            <w:hyperlink r:id="rId48">
              <w:r>
                <w:rPr>
                  <w:color w:val="0000FF"/>
                  <w:sz w:val="24"/>
                  <w:u w:val="single" w:color="0000FF"/>
                </w:rPr>
                <w:t>Chuck.Redman@noaa.gov</w:t>
              </w:r>
            </w:hyperlink>
          </w:p>
        </w:tc>
      </w:tr>
      <w:tr>
        <w:trPr>
          <w:trHeight w:val="272" w:hRule="atLeast"/>
        </w:trPr>
        <w:tc>
          <w:tcPr>
            <w:tcW w:w="2038" w:type="dxa"/>
          </w:tcPr>
          <w:p>
            <w:pPr>
              <w:pStyle w:val="TableParagraph"/>
              <w:spacing w:line="252" w:lineRule="exact"/>
              <w:ind w:left="50"/>
              <w:rPr>
                <w:sz w:val="24"/>
              </w:rPr>
            </w:pPr>
            <w:r>
              <w:rPr>
                <w:sz w:val="24"/>
              </w:rPr>
              <w:t>Michael Cantin</w:t>
            </w:r>
          </w:p>
        </w:tc>
        <w:tc>
          <w:tcPr>
            <w:tcW w:w="4514" w:type="dxa"/>
          </w:tcPr>
          <w:p>
            <w:pPr>
              <w:pStyle w:val="TableParagraph"/>
              <w:spacing w:line="252" w:lineRule="exact"/>
              <w:ind w:left="332"/>
              <w:rPr>
                <w:sz w:val="24"/>
              </w:rPr>
            </w:pPr>
            <w:r>
              <w:rPr>
                <w:sz w:val="24"/>
              </w:rPr>
              <w:t>Meteorologist-in-Charge</w:t>
            </w:r>
          </w:p>
        </w:tc>
        <w:tc>
          <w:tcPr>
            <w:tcW w:w="3927" w:type="dxa"/>
          </w:tcPr>
          <w:p>
            <w:pPr>
              <w:pStyle w:val="TableParagraph"/>
              <w:spacing w:line="252" w:lineRule="exact"/>
              <w:ind w:left="1058"/>
              <w:rPr>
                <w:sz w:val="24"/>
              </w:rPr>
            </w:pPr>
            <w:hyperlink r:id="rId49">
              <w:r>
                <w:rPr>
                  <w:color w:val="0000FF"/>
                  <w:sz w:val="24"/>
                  <w:u w:val="single" w:color="0000FF"/>
                </w:rPr>
                <w:t>Michael.Cantin@noaa.gov</w:t>
              </w:r>
            </w:hyperlink>
          </w:p>
        </w:tc>
      </w:tr>
    </w:tbl>
    <w:p>
      <w:pPr>
        <w:spacing w:after="0" w:line="252" w:lineRule="exact"/>
        <w:rPr>
          <w:sz w:val="24"/>
        </w:rPr>
        <w:sectPr>
          <w:footerReference w:type="default" r:id="rId44"/>
          <w:pgSz w:w="12240" w:h="15840"/>
          <w:pgMar w:footer="1048" w:header="0" w:top="1360" w:bottom="1240" w:left="340" w:right="620"/>
          <w:pgNumType w:start="24"/>
        </w:sectPr>
      </w:pPr>
    </w:p>
    <w:p>
      <w:pPr>
        <w:pStyle w:val="Heading6"/>
        <w:spacing w:before="133"/>
        <w:ind w:left="639"/>
        <w:rPr>
          <w:rFonts w:ascii="Century Gothic"/>
        </w:rPr>
      </w:pPr>
      <w:r>
        <w:rPr>
          <w:rFonts w:ascii="Century Gothic"/>
        </w:rPr>
        <w:t>FIRE WEATHER SERVICES</w:t>
      </w:r>
    </w:p>
    <w:p>
      <w:pPr>
        <w:spacing w:before="267"/>
        <w:ind w:left="1534" w:right="0" w:firstLine="0"/>
        <w:jc w:val="left"/>
        <w:rPr>
          <w:rFonts w:ascii="Century Gothic"/>
          <w:b/>
          <w:sz w:val="22"/>
        </w:rPr>
      </w:pPr>
      <w:r>
        <w:rPr>
          <w:rFonts w:ascii="Century Gothic"/>
          <w:b/>
          <w:sz w:val="22"/>
        </w:rPr>
        <w:t>Map of the Boise Fire Weather District within the NWCC, OR636, OR637, &amp; OR646.</w:t>
      </w:r>
    </w:p>
    <w:p>
      <w:pPr>
        <w:pStyle w:val="BodyText"/>
        <w:spacing w:before="9"/>
        <w:rPr>
          <w:rFonts w:ascii="Century Gothic"/>
          <w:b/>
          <w:sz w:val="18"/>
        </w:rPr>
      </w:pPr>
      <w:r>
        <w:rPr/>
        <w:drawing>
          <wp:anchor distT="0" distB="0" distL="0" distR="0" allowOverlap="1" layoutInCell="1" locked="0" behindDoc="0" simplePos="0" relativeHeight="1144">
            <wp:simplePos x="0" y="0"/>
            <wp:positionH relativeFrom="page">
              <wp:posOffset>1079500</wp:posOffset>
            </wp:positionH>
            <wp:positionV relativeFrom="paragraph">
              <wp:posOffset>170947</wp:posOffset>
            </wp:positionV>
            <wp:extent cx="6027387" cy="6373463"/>
            <wp:effectExtent l="0" t="0" r="0" b="0"/>
            <wp:wrapTopAndBottom/>
            <wp:docPr id="11" name="image10.jpeg" descr="2014FwxZonesOregon"/>
            <wp:cNvGraphicFramePr>
              <a:graphicFrameLocks noChangeAspect="1"/>
            </wp:cNvGraphicFramePr>
            <a:graphic>
              <a:graphicData uri="http://schemas.openxmlformats.org/drawingml/2006/picture">
                <pic:pic>
                  <pic:nvPicPr>
                    <pic:cNvPr id="12" name="image10.jpeg"/>
                    <pic:cNvPicPr/>
                  </pic:nvPicPr>
                  <pic:blipFill>
                    <a:blip r:embed="rId50" cstate="print"/>
                    <a:stretch>
                      <a:fillRect/>
                    </a:stretch>
                  </pic:blipFill>
                  <pic:spPr>
                    <a:xfrm>
                      <a:off x="0" y="0"/>
                      <a:ext cx="6027387" cy="6373463"/>
                    </a:xfrm>
                    <a:prstGeom prst="rect">
                      <a:avLst/>
                    </a:prstGeom>
                  </pic:spPr>
                </pic:pic>
              </a:graphicData>
            </a:graphic>
          </wp:anchor>
        </w:drawing>
      </w:r>
    </w:p>
    <w:p>
      <w:pPr>
        <w:spacing w:after="0"/>
        <w:rPr>
          <w:rFonts w:ascii="Century Gothic"/>
          <w:sz w:val="18"/>
        </w:rPr>
        <w:sectPr>
          <w:pgSz w:w="12240" w:h="15840"/>
          <w:pgMar w:header="0" w:footer="1048" w:top="1500" w:bottom="1240" w:left="340" w:right="620"/>
        </w:sectPr>
      </w:pPr>
    </w:p>
    <w:p>
      <w:pPr>
        <w:pStyle w:val="Heading6"/>
        <w:spacing w:before="77"/>
        <w:ind w:left="999"/>
      </w:pPr>
      <w:r>
        <w:rPr/>
        <w:t>BASIC METEOROLOGICAL SERVICES</w:t>
      </w:r>
    </w:p>
    <w:p>
      <w:pPr>
        <w:pStyle w:val="Heading8"/>
        <w:spacing w:before="268"/>
        <w:ind w:left="999"/>
      </w:pPr>
      <w:r>
        <w:rPr/>
        <w:t>PRODUCT SCHEDULE:</w:t>
      </w:r>
    </w:p>
    <w:p>
      <w:pPr>
        <w:pStyle w:val="BodyText"/>
        <w:spacing w:before="1"/>
        <w:rPr>
          <w:b/>
        </w:rPr>
      </w:pPr>
    </w:p>
    <w:tbl>
      <w:tblPr>
        <w:tblW w:w="0" w:type="auto"/>
        <w:jc w:val="left"/>
        <w:tblInd w:w="1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96"/>
        <w:gridCol w:w="3484"/>
      </w:tblGrid>
      <w:tr>
        <w:trPr>
          <w:trHeight w:val="250" w:hRule="atLeast"/>
        </w:trPr>
        <w:tc>
          <w:tcPr>
            <w:tcW w:w="3196" w:type="dxa"/>
          </w:tcPr>
          <w:p>
            <w:pPr>
              <w:pStyle w:val="TableParagraph"/>
              <w:spacing w:line="231" w:lineRule="exact"/>
              <w:ind w:left="50"/>
              <w:rPr>
                <w:b/>
                <w:sz w:val="22"/>
              </w:rPr>
            </w:pPr>
            <w:r>
              <w:rPr>
                <w:b/>
                <w:sz w:val="22"/>
                <w:u w:val="thick"/>
              </w:rPr>
              <w:t>Product:</w:t>
            </w:r>
          </w:p>
        </w:tc>
        <w:tc>
          <w:tcPr>
            <w:tcW w:w="3484" w:type="dxa"/>
          </w:tcPr>
          <w:p>
            <w:pPr>
              <w:pStyle w:val="TableParagraph"/>
              <w:spacing w:line="231" w:lineRule="exact"/>
              <w:ind w:left="453"/>
              <w:rPr>
                <w:b/>
                <w:sz w:val="22"/>
              </w:rPr>
            </w:pPr>
            <w:r>
              <w:rPr>
                <w:b/>
                <w:sz w:val="22"/>
                <w:u w:val="thick"/>
              </w:rPr>
              <w:t>Issuance time: (MDT) / (PDT)</w:t>
            </w:r>
          </w:p>
        </w:tc>
      </w:tr>
      <w:tr>
        <w:trPr>
          <w:trHeight w:val="253" w:hRule="atLeast"/>
        </w:trPr>
        <w:tc>
          <w:tcPr>
            <w:tcW w:w="3196" w:type="dxa"/>
          </w:tcPr>
          <w:p>
            <w:pPr>
              <w:pStyle w:val="TableParagraph"/>
              <w:spacing w:line="233" w:lineRule="exact"/>
              <w:ind w:left="50"/>
              <w:rPr>
                <w:sz w:val="22"/>
              </w:rPr>
            </w:pPr>
            <w:r>
              <w:rPr>
                <w:sz w:val="22"/>
              </w:rPr>
              <w:t>Morning planning forecast</w:t>
            </w:r>
          </w:p>
        </w:tc>
        <w:tc>
          <w:tcPr>
            <w:tcW w:w="3484" w:type="dxa"/>
          </w:tcPr>
          <w:p>
            <w:pPr>
              <w:pStyle w:val="TableParagraph"/>
              <w:spacing w:line="233" w:lineRule="exact"/>
              <w:ind w:left="1956"/>
              <w:rPr>
                <w:sz w:val="22"/>
              </w:rPr>
            </w:pPr>
            <w:r>
              <w:rPr>
                <w:sz w:val="22"/>
              </w:rPr>
              <w:t>0830 / 0730</w:t>
            </w:r>
          </w:p>
        </w:tc>
      </w:tr>
      <w:tr>
        <w:trPr>
          <w:trHeight w:val="253" w:hRule="atLeast"/>
        </w:trPr>
        <w:tc>
          <w:tcPr>
            <w:tcW w:w="3196" w:type="dxa"/>
          </w:tcPr>
          <w:p>
            <w:pPr>
              <w:pStyle w:val="TableParagraph"/>
              <w:spacing w:line="233" w:lineRule="exact"/>
              <w:ind w:left="50"/>
              <w:rPr>
                <w:sz w:val="22"/>
              </w:rPr>
            </w:pPr>
            <w:r>
              <w:rPr>
                <w:sz w:val="22"/>
              </w:rPr>
              <w:t>Internet briefing</w:t>
            </w:r>
          </w:p>
        </w:tc>
        <w:tc>
          <w:tcPr>
            <w:tcW w:w="3484" w:type="dxa"/>
          </w:tcPr>
          <w:p>
            <w:pPr>
              <w:pStyle w:val="TableParagraph"/>
              <w:spacing w:line="233" w:lineRule="exact"/>
              <w:ind w:left="1956"/>
              <w:rPr>
                <w:sz w:val="22"/>
              </w:rPr>
            </w:pPr>
            <w:r>
              <w:rPr>
                <w:sz w:val="22"/>
              </w:rPr>
              <w:t>0930 / 0830</w:t>
            </w:r>
          </w:p>
        </w:tc>
      </w:tr>
      <w:tr>
        <w:trPr>
          <w:trHeight w:val="253" w:hRule="atLeast"/>
        </w:trPr>
        <w:tc>
          <w:tcPr>
            <w:tcW w:w="3196" w:type="dxa"/>
          </w:tcPr>
          <w:p>
            <w:pPr>
              <w:pStyle w:val="TableParagraph"/>
              <w:spacing w:line="233" w:lineRule="exact"/>
              <w:ind w:left="50"/>
              <w:rPr>
                <w:sz w:val="22"/>
              </w:rPr>
            </w:pPr>
            <w:r>
              <w:rPr>
                <w:sz w:val="22"/>
              </w:rPr>
              <w:t>Afternoon planning forecast</w:t>
            </w:r>
          </w:p>
        </w:tc>
        <w:tc>
          <w:tcPr>
            <w:tcW w:w="3484" w:type="dxa"/>
          </w:tcPr>
          <w:p>
            <w:pPr>
              <w:pStyle w:val="TableParagraph"/>
              <w:spacing w:line="233" w:lineRule="exact"/>
              <w:ind w:left="1237"/>
              <w:rPr>
                <w:sz w:val="22"/>
              </w:rPr>
            </w:pPr>
            <w:r>
              <w:rPr>
                <w:sz w:val="22"/>
              </w:rPr>
              <w:t>1530 / 1430</w:t>
            </w:r>
          </w:p>
        </w:tc>
      </w:tr>
      <w:tr>
        <w:trPr>
          <w:trHeight w:val="249" w:hRule="atLeast"/>
        </w:trPr>
        <w:tc>
          <w:tcPr>
            <w:tcW w:w="3196" w:type="dxa"/>
          </w:tcPr>
          <w:p>
            <w:pPr>
              <w:pStyle w:val="TableParagraph"/>
              <w:spacing w:line="229" w:lineRule="exact"/>
              <w:ind w:left="50"/>
              <w:rPr>
                <w:sz w:val="22"/>
              </w:rPr>
            </w:pPr>
            <w:r>
              <w:rPr>
                <w:sz w:val="22"/>
              </w:rPr>
              <w:t>NFDRS point forecast</w:t>
            </w:r>
          </w:p>
        </w:tc>
        <w:tc>
          <w:tcPr>
            <w:tcW w:w="3484" w:type="dxa"/>
          </w:tcPr>
          <w:p>
            <w:pPr>
              <w:pStyle w:val="TableParagraph"/>
              <w:spacing w:line="229" w:lineRule="exact"/>
              <w:ind w:left="1957"/>
              <w:rPr>
                <w:sz w:val="22"/>
              </w:rPr>
            </w:pPr>
            <w:r>
              <w:rPr>
                <w:sz w:val="22"/>
              </w:rPr>
              <w:t>1530 / 1430</w:t>
            </w:r>
          </w:p>
        </w:tc>
      </w:tr>
    </w:tbl>
    <w:p>
      <w:pPr>
        <w:tabs>
          <w:tab w:pos="6102" w:val="left" w:leader="none"/>
          <w:tab w:pos="6822" w:val="left" w:leader="none"/>
        </w:tabs>
        <w:spacing w:before="1"/>
        <w:ind w:left="1720" w:right="3197" w:firstLine="0"/>
        <w:jc w:val="left"/>
        <w:rPr>
          <w:sz w:val="22"/>
        </w:rPr>
      </w:pPr>
      <w:r>
        <w:rPr>
          <w:sz w:val="22"/>
        </w:rPr>
        <w:t>Fire Weather Watch / Red</w:t>
      </w:r>
      <w:r>
        <w:rPr>
          <w:spacing w:val="-11"/>
          <w:sz w:val="22"/>
        </w:rPr>
        <w:t> </w:t>
      </w:r>
      <w:r>
        <w:rPr>
          <w:sz w:val="22"/>
        </w:rPr>
        <w:t>Flag</w:t>
      </w:r>
      <w:r>
        <w:rPr>
          <w:spacing w:val="-4"/>
          <w:sz w:val="22"/>
        </w:rPr>
        <w:t> </w:t>
      </w:r>
      <w:r>
        <w:rPr>
          <w:sz w:val="22"/>
        </w:rPr>
        <w:t>Warnings</w:t>
        <w:tab/>
        <w:tab/>
        <w:t>Event</w:t>
      </w:r>
      <w:r>
        <w:rPr>
          <w:spacing w:val="-8"/>
          <w:sz w:val="22"/>
        </w:rPr>
        <w:t> </w:t>
      </w:r>
      <w:r>
        <w:rPr>
          <w:sz w:val="22"/>
        </w:rPr>
        <w:t>Driven Spot</w:t>
      </w:r>
      <w:r>
        <w:rPr>
          <w:spacing w:val="-2"/>
          <w:sz w:val="22"/>
        </w:rPr>
        <w:t> </w:t>
      </w:r>
      <w:r>
        <w:rPr>
          <w:sz w:val="22"/>
        </w:rPr>
        <w:t>forecasts</w:t>
        <w:tab/>
        <w:t>Upon</w:t>
      </w:r>
      <w:r>
        <w:rPr>
          <w:spacing w:val="-1"/>
          <w:sz w:val="22"/>
        </w:rPr>
        <w:t> </w:t>
      </w:r>
      <w:r>
        <w:rPr>
          <w:sz w:val="22"/>
        </w:rPr>
        <w:t>Request</w:t>
      </w:r>
    </w:p>
    <w:p>
      <w:pPr>
        <w:pStyle w:val="BodyText"/>
      </w:pPr>
    </w:p>
    <w:p>
      <w:pPr>
        <w:pStyle w:val="BodyText"/>
        <w:spacing w:before="2"/>
        <w:rPr>
          <w:sz w:val="21"/>
        </w:rPr>
      </w:pPr>
    </w:p>
    <w:p>
      <w:pPr>
        <w:spacing w:line="242" w:lineRule="auto" w:before="0"/>
        <w:ind w:left="999" w:right="143" w:firstLine="0"/>
        <w:jc w:val="left"/>
        <w:rPr>
          <w:sz w:val="22"/>
        </w:rPr>
      </w:pPr>
      <w:r>
        <w:rPr>
          <w:b/>
          <w:sz w:val="24"/>
        </w:rPr>
        <w:t>RED FLAG EVENTS: </w:t>
      </w:r>
      <w:r>
        <w:rPr>
          <w:sz w:val="22"/>
        </w:rPr>
        <w:t>High to extreme fire danger and dry fuels (defined by agency input), in combination with the following weather conditions:</w:t>
      </w:r>
    </w:p>
    <w:p>
      <w:pPr>
        <w:pStyle w:val="BodyText"/>
        <w:spacing w:before="8"/>
        <w:rPr>
          <w:sz w:val="21"/>
        </w:rPr>
      </w:pPr>
    </w:p>
    <w:p>
      <w:pPr>
        <w:pStyle w:val="ListParagraph"/>
        <w:numPr>
          <w:ilvl w:val="0"/>
          <w:numId w:val="4"/>
        </w:numPr>
        <w:tabs>
          <w:tab w:pos="1719" w:val="left" w:leader="none"/>
          <w:tab w:pos="1720" w:val="left" w:leader="none"/>
        </w:tabs>
        <w:spacing w:line="240" w:lineRule="auto" w:before="0" w:after="0"/>
        <w:ind w:left="1719" w:right="697" w:hanging="360"/>
        <w:jc w:val="left"/>
        <w:rPr>
          <w:sz w:val="22"/>
        </w:rPr>
      </w:pPr>
      <w:r>
        <w:rPr>
          <w:sz w:val="22"/>
        </w:rPr>
        <w:t>Areal thunderstorm coverage of scattered or greater (&gt;25%), implying LAL of 4 or greater (see</w:t>
      </w:r>
      <w:r>
        <w:rPr>
          <w:spacing w:val="-1"/>
          <w:sz w:val="22"/>
        </w:rPr>
        <w:t> </w:t>
      </w:r>
      <w:r>
        <w:rPr>
          <w:sz w:val="22"/>
        </w:rPr>
        <w:t>below).</w:t>
      </w:r>
    </w:p>
    <w:p>
      <w:pPr>
        <w:pStyle w:val="BodyText"/>
        <w:spacing w:before="6"/>
        <w:rPr>
          <w:sz w:val="21"/>
        </w:rPr>
      </w:pPr>
    </w:p>
    <w:p>
      <w:pPr>
        <w:pStyle w:val="ListParagraph"/>
        <w:numPr>
          <w:ilvl w:val="0"/>
          <w:numId w:val="4"/>
        </w:numPr>
        <w:tabs>
          <w:tab w:pos="1719" w:val="left" w:leader="none"/>
          <w:tab w:pos="1720" w:val="left" w:leader="none"/>
        </w:tabs>
        <w:spacing w:line="240" w:lineRule="auto" w:before="1" w:after="0"/>
        <w:ind w:left="1719" w:right="0" w:hanging="360"/>
        <w:jc w:val="left"/>
        <w:rPr>
          <w:b/>
          <w:sz w:val="22"/>
        </w:rPr>
      </w:pPr>
      <w:r>
        <w:rPr>
          <w:sz w:val="22"/>
        </w:rPr>
        <w:t>High Haines index of 6 in combination with RH&lt;15%. </w:t>
      </w:r>
      <w:r>
        <w:rPr>
          <w:b/>
          <w:sz w:val="22"/>
        </w:rPr>
        <w:t>(</w:t>
      </w:r>
      <w:r>
        <w:rPr>
          <w:b/>
          <w:i/>
          <w:sz w:val="22"/>
        </w:rPr>
        <w:t>Zone 646</w:t>
      </w:r>
      <w:r>
        <w:rPr>
          <w:b/>
          <w:i/>
          <w:spacing w:val="-10"/>
          <w:sz w:val="22"/>
        </w:rPr>
        <w:t> </w:t>
      </w:r>
      <w:r>
        <w:rPr>
          <w:b/>
          <w:i/>
          <w:sz w:val="22"/>
        </w:rPr>
        <w:t>only.</w:t>
      </w:r>
      <w:r>
        <w:rPr>
          <w:b/>
          <w:sz w:val="22"/>
        </w:rPr>
        <w:t>)</w:t>
      </w:r>
    </w:p>
    <w:p>
      <w:pPr>
        <w:pStyle w:val="BodyText"/>
        <w:rPr>
          <w:b/>
          <w:sz w:val="22"/>
        </w:rPr>
      </w:pPr>
    </w:p>
    <w:p>
      <w:pPr>
        <w:pStyle w:val="ListParagraph"/>
        <w:numPr>
          <w:ilvl w:val="0"/>
          <w:numId w:val="4"/>
        </w:numPr>
        <w:tabs>
          <w:tab w:pos="1719" w:val="left" w:leader="none"/>
          <w:tab w:pos="1720" w:val="left" w:leader="none"/>
        </w:tabs>
        <w:spacing w:line="240" w:lineRule="auto" w:before="0" w:after="0"/>
        <w:ind w:left="1719" w:right="740" w:hanging="360"/>
        <w:jc w:val="left"/>
        <w:rPr>
          <w:sz w:val="22"/>
        </w:rPr>
      </w:pPr>
      <w:r>
        <w:rPr>
          <w:sz w:val="22"/>
        </w:rPr>
        <w:t>Strong winds and low humidity. (See matrix below for sustained criteria.) In addition to sustained strong winds from the matrix, wind gusts &gt;35 mph, combined with relative humidity 10% or less, are considered Red Flag Criteria. Red Flag Criteria are considered to be met if conditions are observed at any three RAWS stations within a combined area of Fire Weather Zone 636 and 637 for &gt;3 hours (not necessarily consecutive).  Alternatively, if a </w:t>
      </w:r>
      <w:r>
        <w:rPr>
          <w:spacing w:val="-4"/>
          <w:sz w:val="22"/>
        </w:rPr>
        <w:t>RFW </w:t>
      </w:r>
      <w:r>
        <w:rPr>
          <w:sz w:val="22"/>
        </w:rPr>
        <w:t>is issued separately for Fire Weather Zones 636 and 637, it is considered to verify if conditions are met at three RAWS stations in Zone 636 or two RAWS stations in Zone 637 and</w:t>
      </w:r>
      <w:r>
        <w:rPr>
          <w:spacing w:val="-3"/>
          <w:sz w:val="22"/>
        </w:rPr>
        <w:t> </w:t>
      </w:r>
      <w:r>
        <w:rPr>
          <w:sz w:val="22"/>
        </w:rPr>
        <w:t>646.</w:t>
      </w:r>
    </w:p>
    <w:p>
      <w:pPr>
        <w:pStyle w:val="BodyText"/>
      </w:pPr>
    </w:p>
    <w:p>
      <w:pPr>
        <w:pStyle w:val="BodyText"/>
      </w:pPr>
    </w:p>
    <w:p>
      <w:pPr>
        <w:spacing w:before="204"/>
        <w:ind w:left="298" w:right="0" w:firstLine="0"/>
        <w:jc w:val="center"/>
        <w:rPr>
          <w:sz w:val="22"/>
        </w:rPr>
      </w:pPr>
      <w:r>
        <w:rPr>
          <w:b/>
          <w:sz w:val="22"/>
        </w:rPr>
        <w:t>SUSTAINED 20 FT WIND (10-MINUTE AVERAGE in MPH</w:t>
      </w:r>
      <w:r>
        <w:rPr>
          <w:sz w:val="22"/>
        </w:rPr>
        <w:t>)</w:t>
      </w:r>
    </w:p>
    <w:p>
      <w:pPr>
        <w:pStyle w:val="BodyText"/>
        <w:spacing w:before="2"/>
        <w:rPr>
          <w:sz w:val="22"/>
        </w:rPr>
      </w:pPr>
    </w:p>
    <w:p>
      <w:pPr>
        <w:tabs>
          <w:tab w:pos="1802" w:val="left" w:leader="none"/>
          <w:tab w:pos="3304" w:val="left" w:leader="none"/>
          <w:tab w:pos="4682" w:val="left" w:leader="none"/>
          <w:tab w:pos="6184" w:val="left" w:leader="none"/>
        </w:tabs>
        <w:spacing w:line="252" w:lineRule="exact" w:before="1"/>
        <w:ind w:left="362" w:right="0" w:firstLine="0"/>
        <w:jc w:val="center"/>
        <w:rPr>
          <w:sz w:val="22"/>
        </w:rPr>
      </w:pPr>
      <w:r>
        <w:rPr>
          <w:sz w:val="22"/>
        </w:rPr>
        <w:t>10</w:t>
      </w:r>
      <w:r>
        <w:rPr>
          <w:spacing w:val="-2"/>
          <w:sz w:val="22"/>
        </w:rPr>
        <w:t> </w:t>
      </w:r>
      <w:r>
        <w:rPr>
          <w:sz w:val="22"/>
        </w:rPr>
        <w:t>mph</w:t>
        <w:tab/>
        <w:t>15</w:t>
      </w:r>
      <w:r>
        <w:rPr>
          <w:spacing w:val="-2"/>
          <w:sz w:val="22"/>
        </w:rPr>
        <w:t> </w:t>
      </w:r>
      <w:r>
        <w:rPr>
          <w:sz w:val="22"/>
        </w:rPr>
        <w:t>mph</w:t>
        <w:tab/>
        <w:t>20</w:t>
      </w:r>
      <w:r>
        <w:rPr>
          <w:spacing w:val="-2"/>
          <w:sz w:val="22"/>
        </w:rPr>
        <w:t> </w:t>
      </w:r>
      <w:r>
        <w:rPr>
          <w:sz w:val="22"/>
        </w:rPr>
        <w:t>mph</w:t>
        <w:tab/>
        <w:t>25</w:t>
      </w:r>
      <w:r>
        <w:rPr>
          <w:spacing w:val="-2"/>
          <w:sz w:val="22"/>
        </w:rPr>
        <w:t> </w:t>
      </w:r>
      <w:r>
        <w:rPr>
          <w:sz w:val="22"/>
        </w:rPr>
        <w:t>mph</w:t>
        <w:tab/>
        <w:t>30</w:t>
      </w:r>
      <w:r>
        <w:rPr>
          <w:spacing w:val="-3"/>
          <w:sz w:val="22"/>
        </w:rPr>
        <w:t> </w:t>
      </w:r>
      <w:r>
        <w:rPr>
          <w:sz w:val="22"/>
        </w:rPr>
        <w:t>mph</w:t>
      </w:r>
    </w:p>
    <w:p>
      <w:pPr>
        <w:tabs>
          <w:tab w:pos="9159" w:val="left" w:leader="none"/>
        </w:tabs>
        <w:spacing w:line="252" w:lineRule="exact" w:before="0"/>
        <w:ind w:left="1306" w:right="0" w:firstLine="0"/>
        <w:jc w:val="left"/>
        <w:rPr>
          <w:sz w:val="22"/>
        </w:rPr>
      </w:pPr>
      <w:r>
        <w:rPr>
          <w:sz w:val="22"/>
        </w:rPr>
        <w:t>20%</w:t>
        <w:tab/>
        <w:t>W</w:t>
      </w:r>
    </w:p>
    <w:p>
      <w:pPr>
        <w:tabs>
          <w:tab w:pos="7659" w:val="left" w:leader="none"/>
          <w:tab w:pos="9159" w:val="left" w:leader="none"/>
        </w:tabs>
        <w:spacing w:line="252" w:lineRule="exact" w:before="1"/>
        <w:ind w:left="1306" w:right="0" w:firstLine="0"/>
        <w:jc w:val="left"/>
        <w:rPr>
          <w:sz w:val="22"/>
        </w:rPr>
      </w:pPr>
      <w:r>
        <w:rPr>
          <w:sz w:val="22"/>
        </w:rPr>
        <w:t>15%</w:t>
        <w:tab/>
        <w:t>W</w:t>
        <w:tab/>
        <w:t>W</w:t>
      </w:r>
    </w:p>
    <w:p>
      <w:pPr>
        <w:tabs>
          <w:tab w:pos="6097" w:val="left" w:leader="none"/>
          <w:tab w:pos="7659" w:val="left" w:leader="none"/>
          <w:tab w:pos="9159" w:val="left" w:leader="none"/>
        </w:tabs>
        <w:spacing w:line="252" w:lineRule="exact" w:before="0"/>
        <w:ind w:left="1306" w:right="0" w:firstLine="0"/>
        <w:jc w:val="left"/>
        <w:rPr>
          <w:sz w:val="22"/>
        </w:rPr>
      </w:pPr>
      <w:r>
        <w:rPr>
          <w:sz w:val="22"/>
        </w:rPr>
        <w:t>10%</w:t>
        <w:tab/>
        <w:t>W</w:t>
        <w:tab/>
        <w:t>W</w:t>
        <w:tab/>
        <w:t>W</w:t>
      </w:r>
    </w:p>
    <w:p>
      <w:pPr>
        <w:spacing w:after="0" w:line="252" w:lineRule="exact"/>
        <w:jc w:val="left"/>
        <w:rPr>
          <w:sz w:val="22"/>
        </w:rPr>
        <w:sectPr>
          <w:pgSz w:w="12240" w:h="15840"/>
          <w:pgMar w:header="0" w:footer="1048" w:top="1280" w:bottom="1240" w:left="340" w:right="620"/>
        </w:sectPr>
      </w:pPr>
    </w:p>
    <w:p>
      <w:pPr>
        <w:pStyle w:val="Heading8"/>
        <w:spacing w:before="76"/>
        <w:ind w:left="999"/>
      </w:pPr>
      <w:r>
        <w:rPr/>
        <w:t>LIGHTNING ACTIVITY LEVEL:</w:t>
      </w:r>
    </w:p>
    <w:p>
      <w:pPr>
        <w:tabs>
          <w:tab w:pos="3878" w:val="left" w:leader="none"/>
        </w:tabs>
        <w:spacing w:line="506" w:lineRule="exact" w:before="53"/>
        <w:ind w:left="1719" w:right="1461" w:firstLine="40"/>
        <w:jc w:val="left"/>
        <w:rPr>
          <w:b/>
          <w:sz w:val="22"/>
        </w:rPr>
      </w:pPr>
      <w:r>
        <w:rPr>
          <w:b/>
          <w:sz w:val="22"/>
        </w:rPr>
        <w:t>The chart listed below will be used to forecast Lightning Activity Level (LAL): LAL</w:t>
      </w:r>
      <w:r>
        <w:rPr>
          <w:b/>
          <w:spacing w:val="-1"/>
          <w:sz w:val="22"/>
        </w:rPr>
        <w:t> </w:t>
      </w:r>
      <w:r>
        <w:rPr>
          <w:b/>
          <w:sz w:val="22"/>
        </w:rPr>
        <w:t>=</w:t>
      </w:r>
      <w:r>
        <w:rPr>
          <w:b/>
          <w:spacing w:val="0"/>
          <w:sz w:val="22"/>
        </w:rPr>
        <w:t> </w:t>
      </w:r>
      <w:r>
        <w:rPr>
          <w:b/>
          <w:sz w:val="22"/>
        </w:rPr>
        <w:t>1</w:t>
        <w:tab/>
        <w:t>No</w:t>
      </w:r>
      <w:r>
        <w:rPr>
          <w:b/>
          <w:spacing w:val="-1"/>
          <w:sz w:val="22"/>
        </w:rPr>
        <w:t> </w:t>
      </w:r>
      <w:r>
        <w:rPr>
          <w:b/>
          <w:sz w:val="22"/>
        </w:rPr>
        <w:t>Thunderstorms</w:t>
      </w:r>
    </w:p>
    <w:p>
      <w:pPr>
        <w:tabs>
          <w:tab w:pos="3878" w:val="left" w:leader="none"/>
        </w:tabs>
        <w:spacing w:line="198" w:lineRule="exact" w:before="0"/>
        <w:ind w:left="1719" w:right="0" w:firstLine="0"/>
        <w:jc w:val="left"/>
        <w:rPr>
          <w:b/>
          <w:sz w:val="22"/>
        </w:rPr>
      </w:pPr>
      <w:r>
        <w:rPr>
          <w:b/>
          <w:sz w:val="22"/>
        </w:rPr>
        <w:t>LAL</w:t>
      </w:r>
      <w:r>
        <w:rPr>
          <w:b/>
          <w:spacing w:val="-1"/>
          <w:sz w:val="22"/>
        </w:rPr>
        <w:t> </w:t>
      </w:r>
      <w:r>
        <w:rPr>
          <w:b/>
          <w:sz w:val="22"/>
        </w:rPr>
        <w:t>=</w:t>
      </w:r>
      <w:r>
        <w:rPr>
          <w:b/>
          <w:spacing w:val="0"/>
          <w:sz w:val="22"/>
        </w:rPr>
        <w:t> </w:t>
      </w:r>
      <w:r>
        <w:rPr>
          <w:b/>
          <w:sz w:val="22"/>
        </w:rPr>
        <w:t>2</w:t>
        <w:tab/>
        <w:t>Isolated</w:t>
      </w:r>
      <w:r>
        <w:rPr>
          <w:b/>
          <w:spacing w:val="-1"/>
          <w:sz w:val="22"/>
        </w:rPr>
        <w:t> </w:t>
      </w:r>
      <w:r>
        <w:rPr>
          <w:b/>
          <w:sz w:val="22"/>
        </w:rPr>
        <w:t>Thunderstorms</w:t>
      </w:r>
    </w:p>
    <w:p>
      <w:pPr>
        <w:tabs>
          <w:tab w:pos="3878" w:val="left" w:leader="none"/>
        </w:tabs>
        <w:spacing w:before="2"/>
        <w:ind w:left="1719" w:right="1663" w:firstLine="0"/>
        <w:jc w:val="left"/>
        <w:rPr>
          <w:b/>
          <w:sz w:val="22"/>
        </w:rPr>
      </w:pPr>
      <w:r>
        <w:rPr>
          <w:b/>
          <w:sz w:val="22"/>
        </w:rPr>
        <w:t>LAL</w:t>
      </w:r>
      <w:r>
        <w:rPr>
          <w:b/>
          <w:spacing w:val="-1"/>
          <w:sz w:val="22"/>
        </w:rPr>
        <w:t> </w:t>
      </w:r>
      <w:r>
        <w:rPr>
          <w:b/>
          <w:sz w:val="22"/>
        </w:rPr>
        <w:t>=</w:t>
      </w:r>
      <w:r>
        <w:rPr>
          <w:b/>
          <w:spacing w:val="0"/>
          <w:sz w:val="22"/>
        </w:rPr>
        <w:t> </w:t>
      </w:r>
      <w:r>
        <w:rPr>
          <w:b/>
          <w:sz w:val="22"/>
        </w:rPr>
        <w:t>3</w:t>
        <w:tab/>
        <w:t>Isolated Thunderstorms (Increased Confidence/Threat) LAL</w:t>
      </w:r>
      <w:r>
        <w:rPr>
          <w:b/>
          <w:spacing w:val="-1"/>
          <w:sz w:val="22"/>
        </w:rPr>
        <w:t> </w:t>
      </w:r>
      <w:r>
        <w:rPr>
          <w:b/>
          <w:sz w:val="22"/>
        </w:rPr>
        <w:t>=</w:t>
      </w:r>
      <w:r>
        <w:rPr>
          <w:b/>
          <w:spacing w:val="0"/>
          <w:sz w:val="22"/>
        </w:rPr>
        <w:t> </w:t>
      </w:r>
      <w:r>
        <w:rPr>
          <w:b/>
          <w:sz w:val="22"/>
        </w:rPr>
        <w:t>4</w:t>
        <w:tab/>
        <w:t>Scattered</w:t>
      </w:r>
      <w:r>
        <w:rPr>
          <w:b/>
          <w:spacing w:val="-3"/>
          <w:sz w:val="22"/>
        </w:rPr>
        <w:t> </w:t>
      </w:r>
      <w:r>
        <w:rPr>
          <w:b/>
          <w:sz w:val="22"/>
        </w:rPr>
        <w:t>Thunderstorms</w:t>
      </w:r>
    </w:p>
    <w:p>
      <w:pPr>
        <w:tabs>
          <w:tab w:pos="3878" w:val="left" w:leader="none"/>
        </w:tabs>
        <w:spacing w:line="252" w:lineRule="exact" w:before="0"/>
        <w:ind w:left="1719" w:right="0" w:firstLine="0"/>
        <w:jc w:val="left"/>
        <w:rPr>
          <w:b/>
          <w:sz w:val="22"/>
        </w:rPr>
      </w:pPr>
      <w:r>
        <w:rPr>
          <w:b/>
          <w:sz w:val="22"/>
        </w:rPr>
        <w:t>LAL</w:t>
      </w:r>
      <w:r>
        <w:rPr>
          <w:b/>
          <w:spacing w:val="-1"/>
          <w:sz w:val="22"/>
        </w:rPr>
        <w:t> </w:t>
      </w:r>
      <w:r>
        <w:rPr>
          <w:b/>
          <w:sz w:val="22"/>
        </w:rPr>
        <w:t>=</w:t>
      </w:r>
      <w:r>
        <w:rPr>
          <w:b/>
          <w:spacing w:val="0"/>
          <w:sz w:val="22"/>
        </w:rPr>
        <w:t> </w:t>
      </w:r>
      <w:r>
        <w:rPr>
          <w:b/>
          <w:sz w:val="22"/>
        </w:rPr>
        <w:t>5</w:t>
        <w:tab/>
        <w:t>Numerous</w:t>
      </w:r>
      <w:r>
        <w:rPr>
          <w:b/>
          <w:spacing w:val="-1"/>
          <w:sz w:val="22"/>
        </w:rPr>
        <w:t> </w:t>
      </w:r>
      <w:r>
        <w:rPr>
          <w:b/>
          <w:sz w:val="22"/>
        </w:rPr>
        <w:t>Thunderstorms</w:t>
      </w:r>
    </w:p>
    <w:p>
      <w:pPr>
        <w:tabs>
          <w:tab w:pos="3878" w:val="left" w:leader="none"/>
        </w:tabs>
        <w:spacing w:line="252" w:lineRule="exact" w:before="0"/>
        <w:ind w:left="1719" w:right="0" w:firstLine="0"/>
        <w:jc w:val="left"/>
        <w:rPr>
          <w:b/>
          <w:sz w:val="22"/>
        </w:rPr>
      </w:pPr>
      <w:r>
        <w:rPr>
          <w:b/>
          <w:sz w:val="22"/>
        </w:rPr>
        <w:t>LAL</w:t>
      </w:r>
      <w:r>
        <w:rPr>
          <w:b/>
          <w:spacing w:val="-1"/>
          <w:sz w:val="22"/>
        </w:rPr>
        <w:t> </w:t>
      </w:r>
      <w:r>
        <w:rPr>
          <w:b/>
          <w:sz w:val="22"/>
        </w:rPr>
        <w:t>=</w:t>
      </w:r>
      <w:r>
        <w:rPr>
          <w:b/>
          <w:spacing w:val="0"/>
          <w:sz w:val="22"/>
        </w:rPr>
        <w:t> </w:t>
      </w:r>
      <w:r>
        <w:rPr>
          <w:b/>
          <w:sz w:val="22"/>
        </w:rPr>
        <w:t>6</w:t>
        <w:tab/>
        <w:t>Scattered (But Exclusively Dry)</w:t>
      </w:r>
      <w:r>
        <w:rPr>
          <w:b/>
          <w:spacing w:val="-5"/>
          <w:sz w:val="22"/>
        </w:rPr>
        <w:t> </w:t>
      </w:r>
      <w:r>
        <w:rPr>
          <w:b/>
          <w:sz w:val="22"/>
        </w:rPr>
        <w:t>Thunderstorms</w:t>
      </w:r>
    </w:p>
    <w:p>
      <w:pPr>
        <w:pStyle w:val="BodyText"/>
        <w:rPr>
          <w:b/>
        </w:rPr>
      </w:pPr>
    </w:p>
    <w:p>
      <w:pPr>
        <w:pStyle w:val="BodyText"/>
        <w:spacing w:before="11"/>
        <w:rPr>
          <w:b/>
          <w:sz w:val="19"/>
        </w:rPr>
      </w:pPr>
    </w:p>
    <w:p>
      <w:pPr>
        <w:spacing w:line="242" w:lineRule="auto" w:before="0"/>
        <w:ind w:left="998" w:right="697" w:firstLine="0"/>
        <w:jc w:val="both"/>
        <w:rPr>
          <w:sz w:val="22"/>
        </w:rPr>
      </w:pPr>
      <w:r>
        <w:rPr>
          <w:b/>
          <w:sz w:val="22"/>
        </w:rPr>
        <w:t>Interagency Coordination</w:t>
      </w:r>
      <w:r>
        <w:rPr>
          <w:sz w:val="22"/>
        </w:rPr>
        <w:t>: Before the issuance of a Fire Weather Watch or Red Flag Warning, there will be coordination with the affected agencies and neighboring NWS Forecast Offices in order to assess fuel conditions and general fire danger.</w:t>
      </w:r>
    </w:p>
    <w:p>
      <w:pPr>
        <w:pStyle w:val="BodyText"/>
        <w:spacing w:before="5"/>
        <w:rPr>
          <w:sz w:val="21"/>
        </w:rPr>
      </w:pPr>
    </w:p>
    <w:p>
      <w:pPr>
        <w:spacing w:before="0"/>
        <w:ind w:left="999" w:right="957" w:firstLine="0"/>
        <w:jc w:val="left"/>
        <w:rPr>
          <w:sz w:val="22"/>
        </w:rPr>
      </w:pPr>
      <w:r>
        <w:rPr/>
        <w:pict>
          <v:rect style="position:absolute;margin-left:399pt;margin-top:11.517857pt;width:3.001pt;height:.84pt;mso-position-horizontal-relative:page;mso-position-vertical-relative:paragraph;z-index:-240112" filled="true" fillcolor="#000000" stroked="false">
            <v:fill type="solid"/>
            <w10:wrap type="none"/>
          </v:rect>
        </w:pict>
      </w:r>
      <w:r>
        <w:rPr>
          <w:b/>
          <w:sz w:val="22"/>
        </w:rPr>
        <w:t>Dissemination of Fire Weather Watches and Red Flag Warnings</w:t>
      </w:r>
      <w:r>
        <w:rPr>
          <w:sz w:val="22"/>
        </w:rPr>
        <w:t>: Each issuance, update, or cancellation of a Fire Weather Watch or Red Flag Warning will be relayed by telephone to the dispatch office(s) affected by the Watch/Warning.</w:t>
      </w:r>
    </w:p>
    <w:p>
      <w:pPr>
        <w:pStyle w:val="BodyText"/>
      </w:pPr>
    </w:p>
    <w:p>
      <w:pPr>
        <w:pStyle w:val="BodyText"/>
        <w:rPr>
          <w:sz w:val="20"/>
        </w:rPr>
      </w:pPr>
    </w:p>
    <w:p>
      <w:pPr>
        <w:pStyle w:val="Heading8"/>
        <w:spacing w:before="1"/>
        <w:ind w:left="999"/>
        <w:rPr>
          <w:b w:val="0"/>
        </w:rPr>
      </w:pPr>
      <w:r>
        <w:rPr/>
        <w:t>SPOT FORECASTS</w:t>
      </w:r>
      <w:r>
        <w:rPr>
          <w:b w:val="0"/>
        </w:rPr>
        <w:t>:</w:t>
      </w:r>
    </w:p>
    <w:p>
      <w:pPr>
        <w:pStyle w:val="BodyText"/>
        <w:rPr>
          <w:sz w:val="22"/>
        </w:rPr>
      </w:pPr>
    </w:p>
    <w:p>
      <w:pPr>
        <w:spacing w:before="0"/>
        <w:ind w:left="297" w:right="0" w:firstLine="0"/>
        <w:jc w:val="center"/>
        <w:rPr>
          <w:sz w:val="22"/>
        </w:rPr>
      </w:pPr>
      <w:hyperlink r:id="rId51">
        <w:r>
          <w:rPr>
            <w:color w:val="0000FF"/>
            <w:sz w:val="22"/>
            <w:u w:val="single" w:color="0000FF"/>
          </w:rPr>
          <w:t>http://www.weather.gov/spot/</w:t>
        </w:r>
      </w:hyperlink>
    </w:p>
    <w:p>
      <w:pPr>
        <w:pStyle w:val="BodyText"/>
        <w:spacing w:before="11"/>
        <w:rPr>
          <w:sz w:val="13"/>
        </w:rPr>
      </w:pPr>
    </w:p>
    <w:p>
      <w:pPr>
        <w:spacing w:before="93"/>
        <w:ind w:left="999" w:right="1151" w:hanging="1"/>
        <w:jc w:val="left"/>
        <w:rPr>
          <w:sz w:val="22"/>
        </w:rPr>
      </w:pPr>
      <w:r>
        <w:rPr>
          <w:sz w:val="22"/>
        </w:rPr>
        <w:t>Please reference LAT/LON when requesting spot forecasts. Follow-up phone calls are always encouraged and feedback is extremely useful.</w:t>
      </w:r>
    </w:p>
    <w:p>
      <w:pPr>
        <w:pStyle w:val="BodyText"/>
        <w:spacing w:before="11"/>
        <w:rPr>
          <w:sz w:val="19"/>
        </w:rPr>
      </w:pPr>
    </w:p>
    <w:p>
      <w:pPr>
        <w:pStyle w:val="Heading8"/>
        <w:ind w:left="999"/>
      </w:pPr>
      <w:r>
        <w:rPr/>
        <w:t>WEATHER BRIEFINGS:</w:t>
      </w:r>
    </w:p>
    <w:p>
      <w:pPr>
        <w:pStyle w:val="BodyText"/>
        <w:spacing w:before="1"/>
        <w:rPr>
          <w:b/>
          <w:sz w:val="22"/>
        </w:rPr>
      </w:pPr>
    </w:p>
    <w:p>
      <w:pPr>
        <w:spacing w:before="0"/>
        <w:ind w:left="999" w:right="907" w:firstLine="0"/>
        <w:jc w:val="left"/>
        <w:rPr>
          <w:sz w:val="22"/>
        </w:rPr>
      </w:pPr>
      <w:r>
        <w:rPr>
          <w:sz w:val="22"/>
        </w:rPr>
        <w:t>A daily briefing will be conducted each day at 0930 MDT (0830 PDT) for all agencies via a GoToMeeting. During pre-fire season it will be held only on Mondays and Thursdays.</w:t>
      </w:r>
    </w:p>
    <w:p>
      <w:pPr>
        <w:spacing w:before="0"/>
        <w:ind w:left="999" w:right="697" w:firstLine="0"/>
        <w:jc w:val="both"/>
        <w:rPr>
          <w:sz w:val="22"/>
        </w:rPr>
      </w:pPr>
      <w:r>
        <w:rPr>
          <w:sz w:val="22"/>
        </w:rPr>
        <w:t>The briefing will include a general discussion of weather conditions and forecasts for the current day, as well a brief discussion of the extended period. Model data, satellite loops, and other items of interest will be addressed for the forecast period. The briefing will usually be about 10-15 minutes, but may be longer during active fire periods.</w:t>
      </w:r>
    </w:p>
    <w:p>
      <w:pPr>
        <w:spacing w:after="0"/>
        <w:jc w:val="both"/>
        <w:rPr>
          <w:sz w:val="22"/>
        </w:rPr>
        <w:sectPr>
          <w:pgSz w:w="12240" w:h="15840"/>
          <w:pgMar w:header="0" w:footer="1048" w:top="1280" w:bottom="1240" w:left="340" w:right="620"/>
        </w:sectPr>
      </w:pPr>
    </w:p>
    <w:p>
      <w:pPr>
        <w:pStyle w:val="Heading4"/>
        <w:ind w:left="3224" w:hanging="22"/>
        <w:rPr>
          <w:u w:val="none"/>
        </w:rPr>
      </w:pPr>
      <w:r>
        <w:rPr/>
        <w:drawing>
          <wp:anchor distT="0" distB="0" distL="0" distR="0" allowOverlap="1" layoutInCell="1" locked="0" behindDoc="0" simplePos="0" relativeHeight="1192">
            <wp:simplePos x="0" y="0"/>
            <wp:positionH relativeFrom="page">
              <wp:posOffset>948054</wp:posOffset>
            </wp:positionH>
            <wp:positionV relativeFrom="paragraph">
              <wp:posOffset>24964</wp:posOffset>
            </wp:positionV>
            <wp:extent cx="1218564" cy="1218564"/>
            <wp:effectExtent l="0" t="0" r="0" b="0"/>
            <wp:wrapNone/>
            <wp:docPr id="13" name="image3.png" descr=""/>
            <wp:cNvGraphicFramePr>
              <a:graphicFrameLocks noChangeAspect="1"/>
            </wp:cNvGraphicFramePr>
            <a:graphic>
              <a:graphicData uri="http://schemas.openxmlformats.org/drawingml/2006/picture">
                <pic:pic>
                  <pic:nvPicPr>
                    <pic:cNvPr id="14" name="image3.png"/>
                    <pic:cNvPicPr/>
                  </pic:nvPicPr>
                  <pic:blipFill>
                    <a:blip r:embed="rId7" cstate="print"/>
                    <a:stretch>
                      <a:fillRect/>
                    </a:stretch>
                  </pic:blipFill>
                  <pic:spPr>
                    <a:xfrm>
                      <a:off x="0" y="0"/>
                      <a:ext cx="1218564" cy="1218564"/>
                    </a:xfrm>
                    <a:prstGeom prst="rect">
                      <a:avLst/>
                    </a:prstGeom>
                  </pic:spPr>
                </pic:pic>
              </a:graphicData>
            </a:graphic>
          </wp:anchor>
        </w:drawing>
      </w:r>
      <w:bookmarkStart w:name="NATIONAL WEATHER SERVICE MEDFORD" w:id="42"/>
      <w:bookmarkEnd w:id="42"/>
      <w:r>
        <w:rPr>
          <w:b w:val="0"/>
          <w:u w:val="none"/>
        </w:rPr>
      </w:r>
      <w:bookmarkStart w:name="_bookmark10" w:id="43"/>
      <w:bookmarkEnd w:id="43"/>
      <w:r>
        <w:rPr>
          <w:b w:val="0"/>
          <w:u w:val="none"/>
        </w:rPr>
      </w:r>
      <w:r>
        <w:rPr>
          <w:u w:val="thick"/>
        </w:rPr>
        <w:t>NATIONAL WEATHER SERVICE</w:t>
      </w:r>
      <w:r>
        <w:rPr>
          <w:u w:val="none"/>
        </w:rPr>
        <w:t> </w:t>
      </w:r>
      <w:r>
        <w:rPr>
          <w:u w:val="thick"/>
        </w:rPr>
        <w:t>MEDFORD</w:t>
      </w:r>
    </w:p>
    <w:p>
      <w:pPr>
        <w:pStyle w:val="BodyText"/>
        <w:rPr>
          <w:b/>
          <w:sz w:val="20"/>
        </w:rPr>
      </w:pPr>
    </w:p>
    <w:p>
      <w:pPr>
        <w:pStyle w:val="BodyText"/>
        <w:rPr>
          <w:b/>
          <w:sz w:val="20"/>
        </w:rPr>
      </w:pPr>
    </w:p>
    <w:p>
      <w:pPr>
        <w:pStyle w:val="BodyText"/>
        <w:rPr>
          <w:b/>
          <w:sz w:val="20"/>
        </w:rPr>
      </w:pPr>
    </w:p>
    <w:p>
      <w:pPr>
        <w:pStyle w:val="BodyText"/>
        <w:spacing w:before="6"/>
        <w:rPr>
          <w:b/>
          <w:sz w:val="27"/>
        </w:rPr>
      </w:pPr>
    </w:p>
    <w:p>
      <w:pPr>
        <w:pStyle w:val="Heading5"/>
        <w:spacing w:before="89"/>
        <w:rPr>
          <w:u w:val="none"/>
        </w:rPr>
      </w:pPr>
      <w:bookmarkStart w:name="WHAT’S NEW" w:id="44"/>
      <w:bookmarkEnd w:id="44"/>
      <w:r>
        <w:rPr>
          <w:b w:val="0"/>
          <w:u w:val="none"/>
        </w:rPr>
      </w:r>
      <w:r>
        <w:rPr>
          <w:u w:val="thick"/>
        </w:rPr>
        <w:t>WHAT’S NEW</w:t>
      </w:r>
    </w:p>
    <w:p>
      <w:pPr>
        <w:pStyle w:val="ListParagraph"/>
        <w:numPr>
          <w:ilvl w:val="0"/>
          <w:numId w:val="5"/>
        </w:numPr>
        <w:tabs>
          <w:tab w:pos="1819" w:val="left" w:leader="none"/>
          <w:tab w:pos="1820" w:val="left" w:leader="none"/>
        </w:tabs>
        <w:spacing w:line="240" w:lineRule="auto" w:before="1" w:after="0"/>
        <w:ind w:left="1820" w:right="0" w:hanging="360"/>
        <w:jc w:val="left"/>
        <w:rPr>
          <w:sz w:val="24"/>
        </w:rPr>
      </w:pPr>
      <w:r>
        <w:rPr>
          <w:sz w:val="24"/>
        </w:rPr>
        <w:t>Staff and Certified Fire Weather Forecaster Staff has been</w:t>
      </w:r>
      <w:r>
        <w:rPr>
          <w:spacing w:val="-11"/>
          <w:sz w:val="24"/>
        </w:rPr>
        <w:t> </w:t>
      </w:r>
      <w:r>
        <w:rPr>
          <w:sz w:val="24"/>
        </w:rPr>
        <w:t>updated.</w:t>
      </w:r>
    </w:p>
    <w:p>
      <w:pPr>
        <w:pStyle w:val="ListParagraph"/>
        <w:numPr>
          <w:ilvl w:val="0"/>
          <w:numId w:val="5"/>
        </w:numPr>
        <w:tabs>
          <w:tab w:pos="1819" w:val="left" w:leader="none"/>
          <w:tab w:pos="1820" w:val="left" w:leader="none"/>
        </w:tabs>
        <w:spacing w:line="240" w:lineRule="auto" w:before="3" w:after="0"/>
        <w:ind w:left="1820" w:right="0" w:hanging="360"/>
        <w:jc w:val="left"/>
        <w:rPr>
          <w:sz w:val="24"/>
        </w:rPr>
      </w:pPr>
      <w:r>
        <w:rPr>
          <w:sz w:val="24"/>
        </w:rPr>
        <w:t>Webinar registration link for the 9:30 AM Daily Fire Weather Call has been</w:t>
      </w:r>
      <w:r>
        <w:rPr>
          <w:spacing w:val="-25"/>
          <w:sz w:val="24"/>
        </w:rPr>
        <w:t> </w:t>
      </w:r>
      <w:r>
        <w:rPr>
          <w:sz w:val="24"/>
        </w:rPr>
        <w:t>updated.</w:t>
      </w:r>
    </w:p>
    <w:p>
      <w:pPr>
        <w:pStyle w:val="BodyText"/>
        <w:spacing w:before="4"/>
        <w:rPr>
          <w:sz w:val="23"/>
        </w:rPr>
      </w:pPr>
    </w:p>
    <w:p>
      <w:pPr>
        <w:pStyle w:val="Heading5"/>
        <w:rPr>
          <w:u w:val="none"/>
        </w:rPr>
      </w:pPr>
      <w:bookmarkStart w:name="HOURS OF OPERATION" w:id="45"/>
      <w:bookmarkEnd w:id="45"/>
      <w:r>
        <w:rPr>
          <w:b w:val="0"/>
          <w:u w:val="none"/>
        </w:rPr>
      </w:r>
      <w:r>
        <w:rPr>
          <w:u w:val="thick"/>
        </w:rPr>
        <w:t>HOURS OF OPERATION</w:t>
      </w:r>
    </w:p>
    <w:p>
      <w:pPr>
        <w:pStyle w:val="BodyText"/>
        <w:spacing w:before="3"/>
        <w:ind w:left="1100" w:right="447"/>
      </w:pPr>
      <w:r>
        <w:rPr/>
        <w:t>24 hours a day, year round. Meteorologists are on duty 24 hours a day, 7 days a week. Additional forecasters will be brought in to staff for severe weather, to include that related to wildfire. Under the provisions of the National Fire Weather Agreement, special service provided by the Medford office will be done on a reimbursable basis.</w:t>
      </w:r>
    </w:p>
    <w:p>
      <w:pPr>
        <w:pStyle w:val="BodyText"/>
        <w:spacing w:before="6"/>
        <w:rPr>
          <w:sz w:val="23"/>
        </w:rPr>
      </w:pPr>
    </w:p>
    <w:p>
      <w:pPr>
        <w:pStyle w:val="Heading5"/>
        <w:rPr>
          <w:u w:val="none"/>
        </w:rPr>
      </w:pPr>
      <w:bookmarkStart w:name="LOCATION" w:id="46"/>
      <w:bookmarkEnd w:id="46"/>
      <w:r>
        <w:rPr>
          <w:b w:val="0"/>
          <w:u w:val="none"/>
        </w:rPr>
      </w:r>
      <w:r>
        <w:rPr>
          <w:u w:val="thick"/>
        </w:rPr>
        <w:t>LOCATION</w:t>
      </w:r>
    </w:p>
    <w:p>
      <w:pPr>
        <w:pStyle w:val="BodyText"/>
        <w:spacing w:line="237" w:lineRule="auto" w:before="9"/>
        <w:ind w:left="1100" w:right="6491"/>
      </w:pPr>
      <w:r>
        <w:rPr/>
        <w:t>National Weather Service Medford 4003 Cirrus Drive</w:t>
      </w:r>
    </w:p>
    <w:p>
      <w:pPr>
        <w:pStyle w:val="BodyText"/>
        <w:spacing w:before="1"/>
        <w:ind w:left="1100"/>
      </w:pPr>
      <w:r>
        <w:rPr/>
        <w:t>Medford, Oregon 97504</w:t>
      </w:r>
    </w:p>
    <w:p>
      <w:pPr>
        <w:pStyle w:val="BodyText"/>
        <w:spacing w:before="8"/>
        <w:rPr>
          <w:sz w:val="31"/>
        </w:rPr>
      </w:pPr>
    </w:p>
    <w:p>
      <w:pPr>
        <w:pStyle w:val="Heading5"/>
        <w:rPr>
          <w:u w:val="none"/>
        </w:rPr>
      </w:pPr>
      <w:bookmarkStart w:name="STAFF AND CONTACT INFORMATION" w:id="47"/>
      <w:bookmarkEnd w:id="47"/>
      <w:r>
        <w:rPr>
          <w:b w:val="0"/>
          <w:u w:val="none"/>
        </w:rPr>
      </w:r>
      <w:r>
        <w:rPr>
          <w:u w:val="thick"/>
        </w:rPr>
        <w:t>STAFF AND CONTACT INFORMATION</w:t>
      </w:r>
    </w:p>
    <w:p>
      <w:pPr>
        <w:pStyle w:val="BodyText"/>
        <w:spacing w:before="4"/>
        <w:ind w:left="1099" w:right="743"/>
      </w:pPr>
      <w:r>
        <w:rPr/>
        <w:t>The Medford office is staffed with 19 full-time meteorologists. 15 of these forecasters participate in producing fire weather forecasts after each has completed the training, which includes correspondence courses, computer-based Fire Weather Training Modules, mesoscale analysis, climatological and terrain familiarization, and spot forecast training.</w:t>
      </w:r>
    </w:p>
    <w:p>
      <w:pPr>
        <w:pStyle w:val="BodyText"/>
        <w:spacing w:before="9"/>
        <w:rPr>
          <w:sz w:val="22"/>
        </w:rPr>
      </w:pPr>
    </w:p>
    <w:p>
      <w:pPr>
        <w:pStyle w:val="Heading8"/>
      </w:pPr>
      <w:bookmarkStart w:name="Management staff:" w:id="48"/>
      <w:bookmarkEnd w:id="48"/>
      <w:r>
        <w:rPr>
          <w:b w:val="0"/>
        </w:rPr>
      </w:r>
      <w:r>
        <w:rPr/>
        <w:t>Management staff:</w:t>
      </w:r>
    </w:p>
    <w:p>
      <w:pPr>
        <w:pStyle w:val="BodyText"/>
        <w:tabs>
          <w:tab w:pos="3879" w:val="left" w:leader="none"/>
        </w:tabs>
        <w:ind w:left="1099"/>
      </w:pPr>
      <w:r>
        <w:rPr/>
        <w:t>John</w:t>
      </w:r>
      <w:r>
        <w:rPr>
          <w:spacing w:val="-9"/>
        </w:rPr>
        <w:t> </w:t>
      </w:r>
      <w:r>
        <w:rPr/>
        <w:t>Lovegrove</w:t>
        <w:tab/>
        <w:t>Meteorologist-in-Charge</w:t>
      </w:r>
    </w:p>
    <w:p>
      <w:pPr>
        <w:pStyle w:val="BodyText"/>
      </w:pPr>
    </w:p>
    <w:p>
      <w:pPr>
        <w:pStyle w:val="Heading8"/>
        <w:ind w:left="1099"/>
      </w:pPr>
      <w:bookmarkStart w:name="Certified Fire Weather Forecaster staff:" w:id="49"/>
      <w:bookmarkEnd w:id="49"/>
      <w:r>
        <w:rPr>
          <w:b w:val="0"/>
        </w:rPr>
      </w:r>
      <w:r>
        <w:rPr/>
        <w:t>Certified Fire Weather Forecaster staff:</w:t>
      </w:r>
    </w:p>
    <w:p>
      <w:pPr>
        <w:pStyle w:val="BodyText"/>
        <w:tabs>
          <w:tab w:pos="3879" w:val="left" w:leader="none"/>
        </w:tabs>
        <w:ind w:left="1100"/>
      </w:pPr>
      <w:r>
        <w:rPr/>
        <w:t>Michael</w:t>
      </w:r>
      <w:r>
        <w:rPr>
          <w:spacing w:val="-3"/>
        </w:rPr>
        <w:t> </w:t>
      </w:r>
      <w:r>
        <w:rPr/>
        <w:t>Stavish</w:t>
        <w:tab/>
        <w:t>Science and Operations</w:t>
      </w:r>
      <w:r>
        <w:rPr>
          <w:spacing w:val="-11"/>
        </w:rPr>
        <w:t> </w:t>
      </w:r>
      <w:r>
        <w:rPr/>
        <w:t>Officer</w:t>
      </w:r>
    </w:p>
    <w:p>
      <w:pPr>
        <w:pStyle w:val="BodyText"/>
        <w:tabs>
          <w:tab w:pos="3879" w:val="left" w:leader="none"/>
        </w:tabs>
        <w:ind w:left="1099"/>
      </w:pPr>
      <w:r>
        <w:rPr/>
        <w:t>Ryan</w:t>
      </w:r>
      <w:r>
        <w:rPr>
          <w:spacing w:val="-3"/>
        </w:rPr>
        <w:t> </w:t>
      </w:r>
      <w:r>
        <w:rPr/>
        <w:t>Sandler</w:t>
        <w:tab/>
        <w:t>Warning and Coordination</w:t>
      </w:r>
      <w:r>
        <w:rPr>
          <w:spacing w:val="-13"/>
        </w:rPr>
        <w:t> </w:t>
      </w:r>
      <w:r>
        <w:rPr/>
        <w:t>Meteorologist</w:t>
      </w:r>
    </w:p>
    <w:p>
      <w:pPr>
        <w:pStyle w:val="BodyText"/>
        <w:tabs>
          <w:tab w:pos="3879" w:val="left" w:leader="none"/>
        </w:tabs>
        <w:ind w:left="1100" w:right="871"/>
      </w:pPr>
      <w:r>
        <w:rPr/>
        <w:t>Brett Lutz</w:t>
        <w:tab/>
        <w:t>Meteorologist / Fire Weather &amp; Asst. Climate Program</w:t>
      </w:r>
      <w:r>
        <w:rPr>
          <w:spacing w:val="-38"/>
        </w:rPr>
        <w:t> </w:t>
      </w:r>
      <w:r>
        <w:rPr/>
        <w:t>Leader Frederic</w:t>
      </w:r>
      <w:r>
        <w:rPr>
          <w:spacing w:val="-4"/>
        </w:rPr>
        <w:t> </w:t>
      </w:r>
      <w:r>
        <w:rPr/>
        <w:t>Bunnag</w:t>
        <w:tab/>
        <w:t>Senior Met. / Asst. Fire Program</w:t>
      </w:r>
      <w:r>
        <w:rPr>
          <w:spacing w:val="-22"/>
        </w:rPr>
        <w:t> </w:t>
      </w:r>
      <w:r>
        <w:rPr/>
        <w:t>Leader/IMET</w:t>
      </w:r>
    </w:p>
    <w:p>
      <w:pPr>
        <w:pStyle w:val="BodyText"/>
        <w:tabs>
          <w:tab w:pos="3879" w:val="left" w:leader="none"/>
        </w:tabs>
        <w:ind w:left="1100" w:right="1129"/>
      </w:pPr>
      <w:r>
        <w:rPr/>
        <w:t>Sven</w:t>
      </w:r>
      <w:r>
        <w:rPr>
          <w:spacing w:val="-3"/>
        </w:rPr>
        <w:t> </w:t>
      </w:r>
      <w:r>
        <w:rPr/>
        <w:t>Nelaimischkies</w:t>
        <w:tab/>
        <w:t>Senior Met. / Marine Program Lead &amp; Webmaster/IMET</w:t>
      </w:r>
      <w:r>
        <w:rPr>
          <w:spacing w:val="-36"/>
        </w:rPr>
        <w:t> </w:t>
      </w:r>
      <w:r>
        <w:rPr/>
        <w:t>(T) Ken</w:t>
      </w:r>
      <w:r>
        <w:rPr>
          <w:spacing w:val="-6"/>
        </w:rPr>
        <w:t> </w:t>
      </w:r>
      <w:r>
        <w:rPr/>
        <w:t>Sargeant</w:t>
        <w:tab/>
        <w:t>Internet Technical Officer</w:t>
      </w:r>
      <w:r>
        <w:rPr>
          <w:spacing w:val="-13"/>
        </w:rPr>
        <w:t> </w:t>
      </w:r>
      <w:r>
        <w:rPr/>
        <w:t>(ITO)</w:t>
      </w:r>
    </w:p>
    <w:p>
      <w:pPr>
        <w:pStyle w:val="BodyText"/>
        <w:tabs>
          <w:tab w:pos="3879" w:val="left" w:leader="none"/>
        </w:tabs>
        <w:ind w:left="1099"/>
      </w:pPr>
      <w:r>
        <w:rPr/>
        <w:t>Jay</w:t>
      </w:r>
      <w:r>
        <w:rPr>
          <w:spacing w:val="-6"/>
        </w:rPr>
        <w:t> </w:t>
      </w:r>
      <w:r>
        <w:rPr/>
        <w:t>Stockton</w:t>
        <w:tab/>
        <w:t>Senior</w:t>
      </w:r>
      <w:r>
        <w:rPr>
          <w:spacing w:val="-6"/>
        </w:rPr>
        <w:t> </w:t>
      </w:r>
      <w:r>
        <w:rPr/>
        <w:t>Meteorologist</w:t>
      </w:r>
    </w:p>
    <w:p>
      <w:pPr>
        <w:pStyle w:val="BodyText"/>
        <w:tabs>
          <w:tab w:pos="3879" w:val="left" w:leader="none"/>
        </w:tabs>
        <w:ind w:left="1099"/>
      </w:pPr>
      <w:r>
        <w:rPr/>
        <w:t>Tom</w:t>
      </w:r>
      <w:r>
        <w:rPr>
          <w:spacing w:val="-10"/>
        </w:rPr>
        <w:t> </w:t>
      </w:r>
      <w:r>
        <w:rPr/>
        <w:t>Wright</w:t>
        <w:tab/>
        <w:t>Senior Meteorologist,</w:t>
      </w:r>
      <w:r>
        <w:rPr>
          <w:spacing w:val="-1"/>
        </w:rPr>
        <w:t> </w:t>
      </w:r>
      <w:r>
        <w:rPr/>
        <w:t>IMET</w:t>
      </w:r>
    </w:p>
    <w:p>
      <w:pPr>
        <w:spacing w:after="0"/>
        <w:sectPr>
          <w:footerReference w:type="default" r:id="rId52"/>
          <w:pgSz w:w="12240" w:h="15840"/>
          <w:pgMar w:footer="1048" w:header="0" w:top="1380" w:bottom="1240" w:left="340" w:right="620"/>
        </w:sectPr>
      </w:pPr>
    </w:p>
    <w:p>
      <w:pPr>
        <w:pStyle w:val="BodyText"/>
        <w:tabs>
          <w:tab w:pos="4239" w:val="left" w:leader="none"/>
        </w:tabs>
        <w:spacing w:line="237" w:lineRule="auto" w:before="77"/>
        <w:ind w:left="1460" w:right="4843"/>
      </w:pPr>
      <w:r>
        <w:rPr/>
        <w:t>Connie</w:t>
      </w:r>
      <w:r>
        <w:rPr>
          <w:spacing w:val="-4"/>
        </w:rPr>
        <w:t> </w:t>
      </w:r>
      <w:r>
        <w:rPr/>
        <w:t>Clarstrom</w:t>
        <w:tab/>
        <w:t>Senior</w:t>
      </w:r>
      <w:r>
        <w:rPr>
          <w:spacing w:val="-15"/>
        </w:rPr>
        <w:t> </w:t>
      </w:r>
      <w:r>
        <w:rPr/>
        <w:t>Meteorologist Shad</w:t>
      </w:r>
      <w:r>
        <w:rPr>
          <w:spacing w:val="-6"/>
        </w:rPr>
        <w:t> </w:t>
      </w:r>
      <w:r>
        <w:rPr/>
        <w:t>Keene</w:t>
        <w:tab/>
        <w:t>Meteorologist</w:t>
      </w:r>
    </w:p>
    <w:p>
      <w:pPr>
        <w:pStyle w:val="BodyText"/>
        <w:tabs>
          <w:tab w:pos="4239" w:val="left" w:leader="none"/>
        </w:tabs>
        <w:spacing w:before="1"/>
        <w:ind w:left="1460" w:right="2750"/>
      </w:pPr>
      <w:r>
        <w:rPr/>
        <w:t>Mike</w:t>
      </w:r>
      <w:r>
        <w:rPr>
          <w:spacing w:val="-2"/>
        </w:rPr>
        <w:t> </w:t>
      </w:r>
      <w:r>
        <w:rPr/>
        <w:t>Petrucelli</w:t>
        <w:tab/>
        <w:t>Meteorologist / Aviation Program</w:t>
      </w:r>
      <w:r>
        <w:rPr>
          <w:spacing w:val="-29"/>
        </w:rPr>
        <w:t> </w:t>
      </w:r>
      <w:r>
        <w:rPr/>
        <w:t>Leader Marc</w:t>
      </w:r>
      <w:r>
        <w:rPr>
          <w:spacing w:val="-2"/>
        </w:rPr>
        <w:t> </w:t>
      </w:r>
      <w:r>
        <w:rPr/>
        <w:t>Spilde</w:t>
        <w:tab/>
        <w:t>Meteorologist</w:t>
      </w:r>
    </w:p>
    <w:p>
      <w:pPr>
        <w:pStyle w:val="BodyText"/>
        <w:tabs>
          <w:tab w:pos="4239" w:val="left" w:leader="none"/>
        </w:tabs>
        <w:ind w:left="1460"/>
      </w:pPr>
      <w:r>
        <w:rPr/>
        <w:t>Dan</w:t>
      </w:r>
      <w:r>
        <w:rPr>
          <w:spacing w:val="-10"/>
        </w:rPr>
        <w:t> </w:t>
      </w:r>
      <w:r>
        <w:rPr/>
        <w:t>Weygand</w:t>
        <w:tab/>
        <w:t>Meteorologist</w:t>
      </w:r>
    </w:p>
    <w:p>
      <w:pPr>
        <w:pStyle w:val="BodyText"/>
        <w:tabs>
          <w:tab w:pos="4239" w:val="left" w:leader="none"/>
        </w:tabs>
        <w:ind w:left="1460" w:right="2875"/>
      </w:pPr>
      <w:r>
        <w:rPr/>
        <w:t>Brian</w:t>
      </w:r>
      <w:r>
        <w:rPr>
          <w:spacing w:val="-4"/>
        </w:rPr>
        <w:t> </w:t>
      </w:r>
      <w:r>
        <w:rPr/>
        <w:t>Nieuwenhuis</w:t>
        <w:tab/>
        <w:t>Meteorologist / Marine Program</w:t>
      </w:r>
      <w:r>
        <w:rPr>
          <w:spacing w:val="-31"/>
        </w:rPr>
        <w:t> </w:t>
      </w:r>
      <w:r>
        <w:rPr/>
        <w:t>Leader Bradley</w:t>
      </w:r>
      <w:r>
        <w:rPr>
          <w:spacing w:val="-7"/>
        </w:rPr>
        <w:t> </w:t>
      </w:r>
      <w:r>
        <w:rPr/>
        <w:t>Schaff</w:t>
        <w:tab/>
        <w:t>Meteorologist</w:t>
      </w:r>
    </w:p>
    <w:p>
      <w:pPr>
        <w:pStyle w:val="BodyText"/>
        <w:tabs>
          <w:tab w:pos="4239" w:val="left" w:leader="none"/>
        </w:tabs>
        <w:ind w:left="1424" w:right="4430"/>
      </w:pPr>
      <w:r>
        <w:rPr/>
        <w:t>Misty</w:t>
      </w:r>
      <w:r>
        <w:rPr>
          <w:spacing w:val="-8"/>
        </w:rPr>
        <w:t> </w:t>
      </w:r>
      <w:r>
        <w:rPr/>
        <w:t>Duncan</w:t>
        <w:tab/>
        <w:t>Climate Program</w:t>
      </w:r>
      <w:r>
        <w:rPr>
          <w:spacing w:val="-19"/>
        </w:rPr>
        <w:t> </w:t>
      </w:r>
      <w:r>
        <w:rPr/>
        <w:t>Leader Michelle</w:t>
      </w:r>
      <w:r>
        <w:rPr>
          <w:spacing w:val="-5"/>
        </w:rPr>
        <w:t> </w:t>
      </w:r>
      <w:r>
        <w:rPr/>
        <w:t>Cohen</w:t>
      </w:r>
    </w:p>
    <w:p>
      <w:pPr>
        <w:pStyle w:val="BodyText"/>
        <w:ind w:left="1460"/>
      </w:pPr>
      <w:r>
        <w:rPr/>
        <w:t>Charles Smith</w:t>
      </w:r>
    </w:p>
    <w:p>
      <w:pPr>
        <w:pStyle w:val="BodyText"/>
        <w:rPr>
          <w:sz w:val="26"/>
        </w:rPr>
      </w:pPr>
    </w:p>
    <w:p>
      <w:pPr>
        <w:pStyle w:val="BodyText"/>
        <w:rPr>
          <w:sz w:val="26"/>
        </w:rPr>
      </w:pPr>
    </w:p>
    <w:p>
      <w:pPr>
        <w:pStyle w:val="BodyText"/>
        <w:spacing w:before="5"/>
        <w:rPr>
          <w:sz w:val="20"/>
        </w:rPr>
      </w:pPr>
    </w:p>
    <w:p>
      <w:pPr>
        <w:pStyle w:val="BodyText"/>
        <w:spacing w:line="275" w:lineRule="exact"/>
        <w:ind w:left="1460"/>
      </w:pPr>
      <w:r>
        <w:rPr/>
        <w:t>NWS Medford</w:t>
      </w:r>
    </w:p>
    <w:p>
      <w:pPr>
        <w:pStyle w:val="BodyText"/>
        <w:spacing w:line="275" w:lineRule="exact"/>
        <w:ind w:left="1460"/>
      </w:pPr>
      <w:r>
        <w:rPr/>
        <w:t>Homepage: </w:t>
      </w:r>
      <w:hyperlink r:id="rId54">
        <w:r>
          <w:rPr>
            <w:color w:val="0462C1"/>
            <w:u w:val="single" w:color="0462C1"/>
          </w:rPr>
          <w:t>http://www.wrh.noaa.gov/mfr</w:t>
        </w:r>
        <w:r>
          <w:rPr>
            <w:color w:val="0462C1"/>
          </w:rPr>
          <w:t> </w:t>
        </w:r>
      </w:hyperlink>
      <w:r>
        <w:rPr/>
        <w:t>Facebook</w:t>
      </w:r>
    </w:p>
    <w:p>
      <w:pPr>
        <w:pStyle w:val="BodyText"/>
        <w:ind w:left="1460" w:right="3270"/>
      </w:pPr>
      <w:r>
        <w:rPr/>
        <w:t>Page: </w:t>
      </w:r>
      <w:hyperlink r:id="rId55">
        <w:r>
          <w:rPr>
            <w:color w:val="0462C1"/>
            <w:u w:val="single" w:color="0462C1"/>
          </w:rPr>
          <w:t>https://www.facebook.com/NWSMedford?ref=ts </w:t>
        </w:r>
      </w:hyperlink>
      <w:r>
        <w:rPr/>
        <w:t>Twitter Page: </w:t>
      </w:r>
      <w:hyperlink r:id="rId56">
        <w:r>
          <w:rPr>
            <w:color w:val="0462C1"/>
            <w:u w:val="single" w:color="0462C1"/>
          </w:rPr>
          <w:t>https://twitter.com/NWSMedford</w:t>
        </w:r>
      </w:hyperlink>
    </w:p>
    <w:p>
      <w:pPr>
        <w:pStyle w:val="BodyText"/>
        <w:ind w:left="1460"/>
      </w:pPr>
      <w:r>
        <w:rPr/>
        <w:t>Twitter Handle: @NWSMedford</w:t>
      </w:r>
    </w:p>
    <w:p>
      <w:pPr>
        <w:spacing w:after="0"/>
        <w:sectPr>
          <w:footerReference w:type="default" r:id="rId53"/>
          <w:pgSz w:w="12240" w:h="15840"/>
          <w:pgMar w:footer="1023" w:header="0" w:top="1500" w:bottom="1220" w:left="340" w:right="620"/>
          <w:pgNumType w:start="29"/>
        </w:sectPr>
      </w:pPr>
    </w:p>
    <w:p>
      <w:pPr>
        <w:pStyle w:val="Heading5"/>
        <w:spacing w:before="75"/>
        <w:ind w:left="1460"/>
        <w:rPr>
          <w:u w:val="none"/>
        </w:rPr>
      </w:pPr>
      <w:bookmarkStart w:name="FORECAST AREA" w:id="50"/>
      <w:bookmarkEnd w:id="50"/>
      <w:r>
        <w:rPr>
          <w:b w:val="0"/>
          <w:u w:val="none"/>
        </w:rPr>
      </w:r>
      <w:r>
        <w:rPr>
          <w:u w:val="thick"/>
        </w:rPr>
        <w:t>FORECAST AREA</w:t>
      </w:r>
    </w:p>
    <w:p>
      <w:pPr>
        <w:pStyle w:val="BodyText"/>
        <w:spacing w:before="2"/>
        <w:ind w:left="1460"/>
      </w:pPr>
      <w:r>
        <w:rPr/>
        <w:t>Southern Oregon, fire weather zones 615, 616, 617, 618, 619, 620, 621, 622, 623,</w:t>
      </w:r>
    </w:p>
    <w:p>
      <w:pPr>
        <w:pStyle w:val="BodyText"/>
        <w:ind w:left="1460"/>
      </w:pPr>
      <w:r>
        <w:rPr/>
        <w:t>624,</w:t>
      </w:r>
    </w:p>
    <w:p>
      <w:pPr>
        <w:pStyle w:val="BodyText"/>
        <w:ind w:left="1460"/>
      </w:pPr>
      <w:r>
        <w:rPr/>
        <w:t>and 625.</w:t>
      </w:r>
    </w:p>
    <w:p>
      <w:pPr>
        <w:pStyle w:val="BodyText"/>
        <w:rPr>
          <w:sz w:val="20"/>
        </w:rPr>
      </w:pPr>
    </w:p>
    <w:p>
      <w:pPr>
        <w:pStyle w:val="BodyText"/>
        <w:spacing w:before="6"/>
        <w:rPr>
          <w:sz w:val="21"/>
        </w:rPr>
      </w:pPr>
      <w:r>
        <w:rPr/>
        <w:drawing>
          <wp:anchor distT="0" distB="0" distL="0" distR="0" allowOverlap="1" layoutInCell="1" locked="0" behindDoc="0" simplePos="0" relativeHeight="1216">
            <wp:simplePos x="0" y="0"/>
            <wp:positionH relativeFrom="page">
              <wp:posOffset>1063733</wp:posOffset>
            </wp:positionH>
            <wp:positionV relativeFrom="paragraph">
              <wp:posOffset>182422</wp:posOffset>
            </wp:positionV>
            <wp:extent cx="5078245" cy="2464307"/>
            <wp:effectExtent l="0" t="0" r="0" b="0"/>
            <wp:wrapTopAndBottom/>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57" cstate="print"/>
                    <a:stretch>
                      <a:fillRect/>
                    </a:stretch>
                  </pic:blipFill>
                  <pic:spPr>
                    <a:xfrm>
                      <a:off x="0" y="0"/>
                      <a:ext cx="5078245" cy="2464307"/>
                    </a:xfrm>
                    <a:prstGeom prst="rect">
                      <a:avLst/>
                    </a:prstGeom>
                  </pic:spPr>
                </pic:pic>
              </a:graphicData>
            </a:graphic>
          </wp:anchor>
        </w:drawing>
      </w:r>
    </w:p>
    <w:p>
      <w:pPr>
        <w:pStyle w:val="BodyText"/>
        <w:spacing w:before="5"/>
        <w:rPr>
          <w:sz w:val="29"/>
        </w:rPr>
      </w:pPr>
    </w:p>
    <w:p>
      <w:pPr>
        <w:pStyle w:val="Heading5"/>
        <w:ind w:left="1460"/>
        <w:rPr>
          <w:u w:val="none"/>
        </w:rPr>
      </w:pPr>
      <w:bookmarkStart w:name="FIRE WEATHER SERVICES" w:id="51"/>
      <w:bookmarkEnd w:id="51"/>
      <w:r>
        <w:rPr>
          <w:b w:val="0"/>
          <w:u w:val="none"/>
        </w:rPr>
      </w:r>
      <w:r>
        <w:rPr>
          <w:u w:val="thick"/>
        </w:rPr>
        <w:t>FIRE WEATHER SERVICES</w:t>
      </w:r>
    </w:p>
    <w:p>
      <w:pPr>
        <w:pStyle w:val="BodyText"/>
        <w:spacing w:before="5"/>
        <w:rPr>
          <w:b/>
          <w:sz w:val="16"/>
        </w:rPr>
      </w:pPr>
    </w:p>
    <w:p>
      <w:pPr>
        <w:pStyle w:val="BodyText"/>
        <w:spacing w:before="92"/>
        <w:ind w:left="1459" w:right="1210"/>
      </w:pPr>
      <w:r>
        <w:rPr>
          <w:b/>
        </w:rPr>
        <w:t>Fire Weather and Land Management Forecasts: </w:t>
      </w:r>
      <w:r>
        <w:rPr/>
        <w:t>The Land Management Forecast/Fire Weather Planning Forecast is issued during the off-season, usually from mid-October through early May. This forecast is available on the webpage once daily by</w:t>
      </w:r>
    </w:p>
    <w:p>
      <w:pPr>
        <w:pStyle w:val="BodyText"/>
        <w:spacing w:before="79"/>
        <w:ind w:left="1459" w:right="876"/>
      </w:pPr>
      <w:r>
        <w:rPr/>
        <w:t>0700 local time. The frequency of the Land Management Forecast and the forecast elements may be increased as the fire season approaches. The Fire Weather Program Leader will inquire with the user agencies as weather and fuel conditions warrant during the off season to determine as to when additional forecast elements and/or forecasts are needed. During the fire season, the Fire Weather Forecasts will be issued twice daily at 0700 and 1500 PDT.</w:t>
      </w:r>
    </w:p>
    <w:p>
      <w:pPr>
        <w:pStyle w:val="BodyText"/>
        <w:spacing w:before="9"/>
        <w:rPr>
          <w:sz w:val="23"/>
        </w:rPr>
      </w:pPr>
    </w:p>
    <w:p>
      <w:pPr>
        <w:pStyle w:val="BodyText"/>
        <w:spacing w:before="1"/>
        <w:ind w:left="1460" w:right="1117"/>
      </w:pPr>
      <w:r>
        <w:rPr>
          <w:b/>
        </w:rPr>
        <w:t>ECCDA Forecasts: </w:t>
      </w:r>
      <w:r>
        <w:rPr/>
        <w:t>The Medford Weather Forecast Office also issues the grid- based Dispatch Area Forecast (ECCDA) twice a day by 0700 and 1530 local time, year-round. These forecasts are tailored to the operational area of each dispatch center and may also be accessed via the following</w:t>
      </w:r>
    </w:p>
    <w:p>
      <w:pPr>
        <w:pStyle w:val="BodyText"/>
        <w:ind w:left="1460"/>
      </w:pPr>
      <w:r>
        <w:rPr/>
        <w:t>link: </w:t>
      </w:r>
      <w:hyperlink r:id="rId58">
        <w:r>
          <w:rPr>
            <w:color w:val="0462C1"/>
            <w:u w:val="single" w:color="0462C1"/>
          </w:rPr>
          <w:t>http://www.wrh.noaa.gov/mfr/fire/eccda.php</w:t>
        </w:r>
      </w:hyperlink>
    </w:p>
    <w:p>
      <w:pPr>
        <w:pStyle w:val="BodyText"/>
        <w:spacing w:before="11"/>
        <w:rPr>
          <w:sz w:val="15"/>
        </w:rPr>
      </w:pPr>
    </w:p>
    <w:p>
      <w:pPr>
        <w:pStyle w:val="BodyText"/>
        <w:spacing w:before="92"/>
        <w:ind w:left="1460" w:right="875"/>
      </w:pPr>
      <w:r>
        <w:rPr>
          <w:b/>
        </w:rPr>
        <w:t>NFDRS Trend Forecasts: </w:t>
      </w:r>
      <w:r>
        <w:rPr/>
        <w:t>NFDRS Trend Forecasts are accomplished when needed by the fire agencies. This is usually from sometime in May through September, but can vary greatly from year to year. These trend forecasts are sent to WIMS by 1545 PDT with forecast parameters typically available from WIMS by 1600 PDT.</w:t>
      </w:r>
    </w:p>
    <w:p>
      <w:pPr>
        <w:spacing w:after="0"/>
        <w:sectPr>
          <w:pgSz w:w="12240" w:h="15840"/>
          <w:pgMar w:header="0" w:footer="1023" w:top="1420" w:bottom="1240" w:left="340" w:right="620"/>
        </w:sectPr>
      </w:pPr>
    </w:p>
    <w:p>
      <w:pPr>
        <w:spacing w:before="75"/>
        <w:ind w:left="1460" w:right="852" w:firstLine="0"/>
        <w:jc w:val="left"/>
        <w:rPr>
          <w:sz w:val="24"/>
        </w:rPr>
      </w:pPr>
      <w:r>
        <w:rPr>
          <w:b/>
          <w:sz w:val="24"/>
        </w:rPr>
        <w:t>Medford WFO Daily Fire Weather Briefing Webinar: </w:t>
      </w:r>
      <w:r>
        <w:rPr>
          <w:sz w:val="24"/>
        </w:rPr>
        <w:t>The Medford NWS Office will continue to produce once per day, recorded Daily Fire Weather Briefings, via a GoToWebinar format, during declared fire season (usually June 1st to Sep 15th).</w:t>
      </w:r>
    </w:p>
    <w:p>
      <w:pPr>
        <w:pStyle w:val="BodyText"/>
        <w:ind w:left="1460" w:right="954"/>
      </w:pPr>
      <w:r>
        <w:rPr/>
        <w:t>These briefing will focus on important elements in the forecast as they relate to fire weather, both in the short term forecast and up to one month out, when pertinent. Additionally, these briefings may be done on an as needed basis prior to and after fire season has been declared if weather significant to fire operations is anticipated.</w:t>
      </w:r>
    </w:p>
    <w:p>
      <w:pPr>
        <w:pStyle w:val="BodyText"/>
        <w:spacing w:before="1"/>
        <w:ind w:left="1460" w:right="2195"/>
      </w:pPr>
      <w:r>
        <w:rPr/>
        <w:t>The briefing is held at 930am and can be registered for via the following link: </w:t>
      </w:r>
      <w:hyperlink r:id="rId59">
        <w:r>
          <w:rPr>
            <w:color w:val="0000FF"/>
            <w:u w:val="single" w:color="0462C1"/>
          </w:rPr>
          <w:t>https://attendee.gotowebinar.com/register/4494675281321657858</w:t>
        </w:r>
      </w:hyperlink>
    </w:p>
    <w:p>
      <w:pPr>
        <w:pStyle w:val="BodyText"/>
        <w:spacing w:before="11"/>
        <w:rPr>
          <w:sz w:val="15"/>
        </w:rPr>
      </w:pPr>
    </w:p>
    <w:p>
      <w:pPr>
        <w:pStyle w:val="BodyText"/>
        <w:spacing w:before="92"/>
        <w:ind w:left="1460" w:right="848"/>
      </w:pPr>
      <w:r>
        <w:rPr/>
        <w:t>A recorded version of this daily webinar will be posted each day, usually by 1030am, at the following link:</w:t>
      </w:r>
    </w:p>
    <w:p>
      <w:pPr>
        <w:pStyle w:val="BodyText"/>
        <w:ind w:left="1459"/>
      </w:pPr>
      <w:hyperlink r:id="rId60">
        <w:r>
          <w:rPr>
            <w:color w:val="0462C1"/>
            <w:u w:val="single" w:color="0462C1"/>
          </w:rPr>
          <w:t>http://www.wrh.noaa.gov/mfr/fire/Briefing.wmv</w:t>
        </w:r>
      </w:hyperlink>
    </w:p>
    <w:p>
      <w:pPr>
        <w:pStyle w:val="BodyText"/>
        <w:rPr>
          <w:sz w:val="16"/>
        </w:rPr>
      </w:pPr>
    </w:p>
    <w:p>
      <w:pPr>
        <w:pStyle w:val="BodyText"/>
        <w:spacing w:before="92"/>
        <w:ind w:left="1460" w:right="1982"/>
      </w:pPr>
      <w:r>
        <w:rPr/>
        <w:t>If you experience any difficulties registering or viewing, please contact the Medford NWS Office Fire Weather Desk at 541-776-4332.</w:t>
      </w:r>
    </w:p>
    <w:p>
      <w:pPr>
        <w:pStyle w:val="BodyText"/>
        <w:spacing w:before="9"/>
        <w:rPr>
          <w:sz w:val="23"/>
        </w:rPr>
      </w:pPr>
    </w:p>
    <w:p>
      <w:pPr>
        <w:spacing w:before="0"/>
        <w:ind w:left="1460" w:right="2396" w:firstLine="0"/>
        <w:jc w:val="left"/>
        <w:rPr>
          <w:sz w:val="24"/>
        </w:rPr>
      </w:pPr>
      <w:r>
        <w:rPr>
          <w:b/>
          <w:sz w:val="24"/>
        </w:rPr>
        <w:t>Spot Weather Forecasts: </w:t>
      </w:r>
      <w:r>
        <w:rPr>
          <w:sz w:val="24"/>
        </w:rPr>
        <w:t>Spot Weather Forecasts can be requested at </w:t>
      </w:r>
      <w:hyperlink r:id="rId61">
        <w:r>
          <w:rPr>
            <w:color w:val="0462C1"/>
            <w:sz w:val="24"/>
            <w:u w:val="single" w:color="0462C1"/>
          </w:rPr>
          <w:t>http://www.weather.gov/spot/request/</w:t>
        </w:r>
      </w:hyperlink>
    </w:p>
    <w:p>
      <w:pPr>
        <w:pStyle w:val="BodyText"/>
        <w:spacing w:before="2"/>
        <w:rPr>
          <w:sz w:val="16"/>
        </w:rPr>
      </w:pPr>
    </w:p>
    <w:p>
      <w:pPr>
        <w:pStyle w:val="BodyText"/>
        <w:spacing w:before="93"/>
        <w:ind w:left="1460" w:right="1208"/>
      </w:pPr>
      <w:r>
        <w:rPr/>
        <w:t>Please provide on-site observations whenever possible and/or note the nearest representative RAWS in the “REMARKS” section. Spot forecasts for wildfire suppression and/or public safety take precedence over all office activities, except a Tornado Warning. Please request prescribed burn spot requests at least 2 hours in advance or, preferably, the day prior to the burn, whenever possible.</w:t>
      </w:r>
    </w:p>
    <w:p>
      <w:pPr>
        <w:pStyle w:val="BodyText"/>
        <w:ind w:left="1460" w:right="1235"/>
      </w:pPr>
      <w:r>
        <w:rPr/>
        <w:t>Please call the office on the direct fire line at 541-776-4332 after submitting a request if there are peculiarities with or sensitivities that cannot be detailed in the request. Detailed instructions for completing the Request Form and access links are available at:</w:t>
      </w:r>
    </w:p>
    <w:p>
      <w:pPr>
        <w:pStyle w:val="BodyText"/>
        <w:rPr>
          <w:sz w:val="29"/>
        </w:rPr>
      </w:pPr>
    </w:p>
    <w:p>
      <w:pPr>
        <w:pStyle w:val="BodyText"/>
        <w:spacing w:line="237" w:lineRule="auto"/>
        <w:ind w:left="1460" w:right="1022"/>
      </w:pPr>
      <w:hyperlink r:id="rId20">
        <w:r>
          <w:rPr>
            <w:color w:val="0462C1"/>
            <w:u w:val="single" w:color="0462C1"/>
          </w:rPr>
          <w:t>http://www.wrh.noaa.gov/sew/NW_SpotRequestInstructions.pdf </w:t>
        </w:r>
      </w:hyperlink>
      <w:r>
        <w:rPr/>
        <w:t>An overview of the Spot Forecast program begins on page 5 of this document.</w:t>
      </w:r>
    </w:p>
    <w:p>
      <w:pPr>
        <w:pStyle w:val="BodyText"/>
        <w:spacing w:before="1"/>
      </w:pPr>
    </w:p>
    <w:p>
      <w:pPr>
        <w:spacing w:before="0"/>
        <w:ind w:left="1459" w:right="888" w:firstLine="0"/>
        <w:jc w:val="both"/>
        <w:rPr>
          <w:sz w:val="24"/>
        </w:rPr>
      </w:pPr>
      <w:r>
        <w:rPr>
          <w:b/>
          <w:sz w:val="24"/>
        </w:rPr>
        <w:t>Fire Weather Watches and Red Flag Warnings: </w:t>
      </w:r>
      <w:r>
        <w:rPr>
          <w:sz w:val="24"/>
        </w:rPr>
        <w:t>Fire Weather Watches and Red Flag Warnings will be issued when the following weather criteria are expected, in conjunction with certain fuel situations.</w:t>
      </w:r>
    </w:p>
    <w:p>
      <w:pPr>
        <w:pStyle w:val="BodyText"/>
      </w:pPr>
    </w:p>
    <w:p>
      <w:pPr>
        <w:pStyle w:val="BodyText"/>
        <w:ind w:left="1460" w:right="915"/>
      </w:pPr>
      <w:r>
        <w:rPr>
          <w:u w:val="single"/>
        </w:rPr>
        <w:t>Fuel Conditions:</w:t>
      </w:r>
      <w:r>
        <w:rPr/>
        <w:t> Fuel conditions must be determined to be receptive/dry enough for lightning fire starts during the occurrence period of the lightning event such that there will be an initial attack problem for the fire agencies in the Fire Weather Zone(s) in question. Fuel dryness/receptiveness can be determined by the following methods, in ranking level of importance:</w:t>
      </w:r>
    </w:p>
    <w:p>
      <w:pPr>
        <w:pStyle w:val="BodyText"/>
        <w:spacing w:before="1"/>
      </w:pPr>
    </w:p>
    <w:p>
      <w:pPr>
        <w:pStyle w:val="ListParagraph"/>
        <w:numPr>
          <w:ilvl w:val="0"/>
          <w:numId w:val="6"/>
        </w:numPr>
        <w:tabs>
          <w:tab w:pos="2179" w:val="left" w:leader="none"/>
          <w:tab w:pos="2180" w:val="left" w:leader="none"/>
        </w:tabs>
        <w:spacing w:line="240" w:lineRule="auto" w:before="0" w:after="0"/>
        <w:ind w:left="2180" w:right="1037" w:hanging="360"/>
        <w:jc w:val="left"/>
        <w:rPr>
          <w:sz w:val="24"/>
        </w:rPr>
      </w:pPr>
      <w:r>
        <w:rPr>
          <w:sz w:val="24"/>
        </w:rPr>
        <w:t>From the local Fuels Management Officer (FMO) for the Fire Weather Zone or Zones in question, or portion of the Fire Weather Zone or Zones in question. If the local FMO(s) determine(s) fuels are dry enough to constitute an</w:t>
      </w:r>
      <w:r>
        <w:rPr>
          <w:spacing w:val="-1"/>
          <w:sz w:val="24"/>
        </w:rPr>
        <w:t> </w:t>
      </w:r>
      <w:r>
        <w:rPr>
          <w:sz w:val="24"/>
        </w:rPr>
        <w:t>initial</w:t>
      </w:r>
      <w:r>
        <w:rPr>
          <w:spacing w:val="-29"/>
          <w:sz w:val="24"/>
        </w:rPr>
        <w:t> </w:t>
      </w:r>
      <w:r>
        <w:rPr>
          <w:sz w:val="24"/>
        </w:rPr>
        <w:t>attack</w:t>
      </w:r>
      <w:r>
        <w:rPr>
          <w:spacing w:val="-2"/>
          <w:sz w:val="24"/>
        </w:rPr>
        <w:t> </w:t>
      </w:r>
      <w:r>
        <w:rPr>
          <w:sz w:val="24"/>
        </w:rPr>
        <w:t>problem in</w:t>
      </w:r>
      <w:r>
        <w:rPr>
          <w:spacing w:val="-3"/>
          <w:sz w:val="24"/>
        </w:rPr>
        <w:t> </w:t>
      </w:r>
      <w:r>
        <w:rPr>
          <w:sz w:val="24"/>
        </w:rPr>
        <w:t>all</w:t>
      </w:r>
      <w:r>
        <w:rPr>
          <w:spacing w:val="-2"/>
          <w:sz w:val="24"/>
        </w:rPr>
        <w:t> </w:t>
      </w:r>
      <w:r>
        <w:rPr>
          <w:sz w:val="24"/>
        </w:rPr>
        <w:t>or</w:t>
      </w:r>
      <w:r>
        <w:rPr>
          <w:spacing w:val="-3"/>
          <w:sz w:val="24"/>
        </w:rPr>
        <w:t> </w:t>
      </w:r>
      <w:r>
        <w:rPr>
          <w:sz w:val="24"/>
        </w:rPr>
        <w:t>part</w:t>
      </w:r>
      <w:r>
        <w:rPr>
          <w:spacing w:val="-4"/>
          <w:sz w:val="24"/>
        </w:rPr>
        <w:t> </w:t>
      </w:r>
      <w:r>
        <w:rPr>
          <w:sz w:val="24"/>
        </w:rPr>
        <w:t>of</w:t>
      </w:r>
      <w:r>
        <w:rPr>
          <w:spacing w:val="-1"/>
          <w:sz w:val="24"/>
        </w:rPr>
        <w:t> </w:t>
      </w:r>
      <w:r>
        <w:rPr>
          <w:sz w:val="24"/>
        </w:rPr>
        <w:t>a</w:t>
      </w:r>
      <w:r>
        <w:rPr>
          <w:spacing w:val="-1"/>
          <w:sz w:val="24"/>
        </w:rPr>
        <w:t> </w:t>
      </w:r>
      <w:r>
        <w:rPr>
          <w:sz w:val="24"/>
        </w:rPr>
        <w:t>zone,</w:t>
      </w:r>
      <w:r>
        <w:rPr>
          <w:spacing w:val="-1"/>
          <w:sz w:val="24"/>
        </w:rPr>
        <w:t> </w:t>
      </w:r>
      <w:r>
        <w:rPr>
          <w:sz w:val="24"/>
        </w:rPr>
        <w:t>then</w:t>
      </w:r>
      <w:r>
        <w:rPr>
          <w:spacing w:val="-1"/>
          <w:sz w:val="24"/>
        </w:rPr>
        <w:t> </w:t>
      </w:r>
      <w:r>
        <w:rPr>
          <w:sz w:val="24"/>
        </w:rPr>
        <w:t>it</w:t>
      </w:r>
      <w:r>
        <w:rPr>
          <w:spacing w:val="-4"/>
          <w:sz w:val="24"/>
        </w:rPr>
        <w:t> </w:t>
      </w:r>
      <w:r>
        <w:rPr>
          <w:sz w:val="24"/>
        </w:rPr>
        <w:t>is</w:t>
      </w:r>
      <w:r>
        <w:rPr>
          <w:spacing w:val="-2"/>
          <w:sz w:val="24"/>
        </w:rPr>
        <w:t> </w:t>
      </w:r>
      <w:r>
        <w:rPr>
          <w:sz w:val="24"/>
        </w:rPr>
        <w:t>dry</w:t>
      </w:r>
      <w:r>
        <w:rPr>
          <w:spacing w:val="-4"/>
          <w:sz w:val="24"/>
        </w:rPr>
        <w:t> </w:t>
      </w:r>
      <w:r>
        <w:rPr>
          <w:sz w:val="24"/>
        </w:rPr>
        <w:t>enough</w:t>
      </w:r>
      <w:r>
        <w:rPr>
          <w:spacing w:val="-3"/>
          <w:sz w:val="24"/>
        </w:rPr>
        <w:t> </w:t>
      </w:r>
      <w:r>
        <w:rPr>
          <w:sz w:val="24"/>
        </w:rPr>
        <w:t>to</w:t>
      </w:r>
      <w:r>
        <w:rPr>
          <w:spacing w:val="-1"/>
          <w:sz w:val="24"/>
        </w:rPr>
        <w:t> </w:t>
      </w:r>
      <w:r>
        <w:rPr>
          <w:sz w:val="24"/>
        </w:rPr>
        <w:t>issue</w:t>
      </w:r>
    </w:p>
    <w:p>
      <w:pPr>
        <w:spacing w:after="0" w:line="240" w:lineRule="auto"/>
        <w:jc w:val="left"/>
        <w:rPr>
          <w:sz w:val="24"/>
        </w:rPr>
        <w:sectPr>
          <w:pgSz w:w="12240" w:h="15840"/>
          <w:pgMar w:header="0" w:footer="1023" w:top="1420" w:bottom="1220" w:left="340" w:right="620"/>
        </w:sectPr>
      </w:pPr>
    </w:p>
    <w:p>
      <w:pPr>
        <w:pStyle w:val="BodyText"/>
        <w:spacing w:before="75"/>
        <w:ind w:left="2180"/>
      </w:pPr>
      <w:r>
        <w:rPr/>
        <w:t>a Fire Weather Watch/Red Flag Warning.</w:t>
      </w:r>
    </w:p>
    <w:p>
      <w:pPr>
        <w:pStyle w:val="BodyText"/>
        <w:spacing w:before="10"/>
        <w:rPr>
          <w:sz w:val="23"/>
        </w:rPr>
      </w:pPr>
    </w:p>
    <w:p>
      <w:pPr>
        <w:pStyle w:val="ListParagraph"/>
        <w:numPr>
          <w:ilvl w:val="0"/>
          <w:numId w:val="6"/>
        </w:numPr>
        <w:tabs>
          <w:tab w:pos="2179" w:val="left" w:leader="none"/>
          <w:tab w:pos="2180" w:val="left" w:leader="none"/>
        </w:tabs>
        <w:spacing w:line="240" w:lineRule="auto" w:before="0" w:after="0"/>
        <w:ind w:left="2180" w:right="2772" w:hanging="360"/>
        <w:jc w:val="left"/>
        <w:rPr>
          <w:sz w:val="24"/>
        </w:rPr>
      </w:pPr>
      <w:r>
        <w:rPr>
          <w:sz w:val="24"/>
        </w:rPr>
        <w:t>High to Extreme Fire Danger as determined by the local fire management</w:t>
      </w:r>
      <w:r>
        <w:rPr>
          <w:spacing w:val="-3"/>
          <w:sz w:val="24"/>
        </w:rPr>
        <w:t> </w:t>
      </w:r>
      <w:r>
        <w:rPr>
          <w:sz w:val="24"/>
        </w:rPr>
        <w:t>agency.</w:t>
      </w:r>
    </w:p>
    <w:p>
      <w:pPr>
        <w:pStyle w:val="BodyText"/>
        <w:spacing w:before="10"/>
        <w:rPr>
          <w:sz w:val="23"/>
        </w:rPr>
      </w:pPr>
    </w:p>
    <w:p>
      <w:pPr>
        <w:pStyle w:val="ListParagraph"/>
        <w:numPr>
          <w:ilvl w:val="0"/>
          <w:numId w:val="6"/>
        </w:numPr>
        <w:tabs>
          <w:tab w:pos="2179" w:val="left" w:leader="none"/>
          <w:tab w:pos="2180" w:val="left" w:leader="none"/>
        </w:tabs>
        <w:spacing w:line="240" w:lineRule="auto" w:before="0" w:after="0"/>
        <w:ind w:left="2180" w:right="906" w:hanging="360"/>
        <w:jc w:val="left"/>
        <w:rPr>
          <w:sz w:val="24"/>
        </w:rPr>
      </w:pPr>
      <w:r>
        <w:rPr>
          <w:sz w:val="24"/>
        </w:rPr>
        <w:t>The Fuel Dryness of the Northern California Geographical Area Coordination Center (GACC) and/or the Fire Environment (FEN) level of the Northwest Interagency Coordination Center’s 7-Day Significant Fire Potential Outlook. These Outlooks should only be used as part of the decision making process. Fuel Dryness and/or Fire Environment level on the chart in the yellow, brown, or red categories support issuance of a Watch or Warning. If the Fuel Dryness and/or Fire Environment level in the chart is green, the forecaster must determine if there will be an initial attack concern due to fuel dryness over all or part of the Fire Weather Zone or Zones. In rare cases, fuels may be or, may become, too wet for an imminent large fire concern for the GACC, but are still dry enough to be an initial attack</w:t>
      </w:r>
      <w:r>
        <w:rPr>
          <w:spacing w:val="-18"/>
          <w:sz w:val="24"/>
        </w:rPr>
        <w:t> </w:t>
      </w:r>
      <w:r>
        <w:rPr>
          <w:sz w:val="24"/>
        </w:rPr>
        <w:t>concern.</w:t>
      </w:r>
    </w:p>
    <w:p>
      <w:pPr>
        <w:pStyle w:val="BodyText"/>
        <w:spacing w:before="8"/>
        <w:rPr>
          <w:sz w:val="23"/>
        </w:rPr>
      </w:pPr>
    </w:p>
    <w:p>
      <w:pPr>
        <w:pStyle w:val="BodyText"/>
        <w:ind w:left="1460"/>
      </w:pPr>
      <w:r>
        <w:rPr>
          <w:u w:val="single"/>
        </w:rPr>
        <w:t>Weather Conditions:</w:t>
      </w:r>
    </w:p>
    <w:p>
      <w:pPr>
        <w:pStyle w:val="BodyText"/>
        <w:rPr>
          <w:sz w:val="16"/>
        </w:rPr>
      </w:pPr>
    </w:p>
    <w:p>
      <w:pPr>
        <w:pStyle w:val="ListParagraph"/>
        <w:numPr>
          <w:ilvl w:val="0"/>
          <w:numId w:val="7"/>
        </w:numPr>
        <w:tabs>
          <w:tab w:pos="2180" w:val="left" w:leader="none"/>
        </w:tabs>
        <w:spacing w:line="240" w:lineRule="auto" w:before="92" w:after="0"/>
        <w:ind w:left="2180" w:right="1092" w:hanging="360"/>
        <w:jc w:val="left"/>
        <w:rPr>
          <w:sz w:val="24"/>
        </w:rPr>
      </w:pPr>
      <w:r>
        <w:rPr>
          <w:b/>
          <w:sz w:val="24"/>
        </w:rPr>
        <w:t>Abundant lightning: </w:t>
      </w:r>
      <w:r>
        <w:rPr>
          <w:sz w:val="24"/>
        </w:rPr>
        <w:t>Abundant lightning (scattered thunderstorm coverage or greater) in conjunction with sufficiently dry fuels (fuels remain dry or critical during and immediately after a lightning event). Thunderstorms must have forecast areal coverage of at least 25%. Warnings may be issued for isolated events (&lt;25% areal coverage) when little or no precipitation is expected to reach the</w:t>
      </w:r>
      <w:r>
        <w:rPr>
          <w:spacing w:val="-35"/>
          <w:sz w:val="24"/>
        </w:rPr>
        <w:t> </w:t>
      </w:r>
      <w:r>
        <w:rPr>
          <w:sz w:val="24"/>
        </w:rPr>
        <w:t>ground.</w:t>
      </w:r>
    </w:p>
    <w:p>
      <w:pPr>
        <w:pStyle w:val="BodyText"/>
      </w:pPr>
    </w:p>
    <w:p>
      <w:pPr>
        <w:pStyle w:val="BodyText"/>
        <w:ind w:left="2180" w:right="1175"/>
      </w:pPr>
      <w:r>
        <w:rPr/>
        <w:t>The LAL for all lightning based Fire Weather Watches and Red Flag Warnings must be three (3) or greater. Forecasters should have a high degree of confidence (~50% for watch, 70% for warning) that the Red Flag event will occur.</w:t>
      </w:r>
    </w:p>
    <w:p>
      <w:pPr>
        <w:pStyle w:val="BodyText"/>
        <w:rPr>
          <w:sz w:val="26"/>
        </w:rPr>
      </w:pPr>
    </w:p>
    <w:p>
      <w:pPr>
        <w:pStyle w:val="Heading8"/>
        <w:numPr>
          <w:ilvl w:val="0"/>
          <w:numId w:val="7"/>
        </w:numPr>
        <w:tabs>
          <w:tab w:pos="1820" w:val="left" w:leader="none"/>
        </w:tabs>
        <w:spacing w:line="237" w:lineRule="auto" w:before="172" w:after="0"/>
        <w:ind w:left="1820" w:right="1078" w:hanging="360"/>
        <w:jc w:val="left"/>
      </w:pPr>
      <w:bookmarkStart w:name="B. Strong wind and low relative humidity" w:id="52"/>
      <w:bookmarkEnd w:id="52"/>
      <w:r>
        <w:rPr>
          <w:b w:val="0"/>
        </w:rPr>
      </w:r>
      <w:bookmarkStart w:name="B. Strong wind and low relative humidity" w:id="53"/>
      <w:bookmarkEnd w:id="53"/>
      <w:r>
        <w:rPr/>
        <w:t>S</w:t>
      </w:r>
      <w:r>
        <w:rPr/>
        <w:t>trong wind and low relative humidity associated with a marine push, dry cold front, or passage of an upper level</w:t>
      </w:r>
      <w:r>
        <w:rPr>
          <w:spacing w:val="-17"/>
        </w:rPr>
        <w:t> </w:t>
      </w:r>
      <w:r>
        <w:rPr/>
        <w:t>trough:</w:t>
      </w:r>
    </w:p>
    <w:p>
      <w:pPr>
        <w:pStyle w:val="ListParagraph"/>
        <w:numPr>
          <w:ilvl w:val="1"/>
          <w:numId w:val="7"/>
        </w:numPr>
        <w:tabs>
          <w:tab w:pos="2539" w:val="left" w:leader="none"/>
          <w:tab w:pos="2540" w:val="left" w:leader="none"/>
        </w:tabs>
        <w:spacing w:line="240" w:lineRule="auto" w:before="1" w:after="0"/>
        <w:ind w:left="2540" w:right="1009" w:hanging="360"/>
        <w:jc w:val="left"/>
        <w:rPr>
          <w:sz w:val="24"/>
        </w:rPr>
      </w:pPr>
      <w:r>
        <w:rPr>
          <w:sz w:val="24"/>
        </w:rPr>
        <w:t>Zones 615, 618: Min RH &lt; 30% AND 10-minute sustained wind 15+ mph and/or gusts 30+ mph lasting for 2 or more</w:t>
      </w:r>
      <w:r>
        <w:rPr>
          <w:spacing w:val="-32"/>
          <w:sz w:val="24"/>
        </w:rPr>
        <w:t> </w:t>
      </w:r>
      <w:r>
        <w:rPr>
          <w:sz w:val="24"/>
        </w:rPr>
        <w:t>hours.</w:t>
      </w:r>
    </w:p>
    <w:p>
      <w:pPr>
        <w:pStyle w:val="BodyText"/>
        <w:spacing w:before="5"/>
        <w:rPr>
          <w:sz w:val="23"/>
        </w:rPr>
      </w:pPr>
    </w:p>
    <w:p>
      <w:pPr>
        <w:pStyle w:val="ListParagraph"/>
        <w:numPr>
          <w:ilvl w:val="1"/>
          <w:numId w:val="7"/>
        </w:numPr>
        <w:tabs>
          <w:tab w:pos="2539" w:val="left" w:leader="none"/>
          <w:tab w:pos="2540" w:val="left" w:leader="none"/>
        </w:tabs>
        <w:spacing w:line="240" w:lineRule="auto" w:before="1" w:after="0"/>
        <w:ind w:left="2540" w:right="0" w:hanging="360"/>
        <w:jc w:val="left"/>
        <w:rPr>
          <w:sz w:val="24"/>
        </w:rPr>
      </w:pPr>
      <w:r>
        <w:rPr>
          <w:sz w:val="24"/>
        </w:rPr>
        <w:t>Zones 616, 617, 619, 620, 621, 622, 623: Min RH &lt; 15% AND 10</w:t>
      </w:r>
      <w:r>
        <w:rPr>
          <w:spacing w:val="-50"/>
          <w:sz w:val="24"/>
        </w:rPr>
        <w:t> </w:t>
      </w:r>
      <w:r>
        <w:rPr>
          <w:sz w:val="24"/>
        </w:rPr>
        <w:t>minute</w:t>
      </w:r>
    </w:p>
    <w:p>
      <w:pPr>
        <w:pStyle w:val="BodyText"/>
        <w:ind w:left="2540" w:right="1102"/>
      </w:pPr>
      <w:r>
        <w:rPr/>
        <w:t>sustained wind 10+ mph or peak winds to 20+ mph lasting for 2 or more hours.</w:t>
      </w:r>
    </w:p>
    <w:p>
      <w:pPr>
        <w:pStyle w:val="BodyText"/>
        <w:spacing w:before="8"/>
      </w:pPr>
    </w:p>
    <w:p>
      <w:pPr>
        <w:pStyle w:val="ListParagraph"/>
        <w:numPr>
          <w:ilvl w:val="1"/>
          <w:numId w:val="7"/>
        </w:numPr>
        <w:tabs>
          <w:tab w:pos="2539" w:val="left" w:leader="none"/>
          <w:tab w:pos="2540" w:val="left" w:leader="none"/>
        </w:tabs>
        <w:spacing w:line="235" w:lineRule="auto" w:before="0" w:after="0"/>
        <w:ind w:left="2540" w:right="892" w:hanging="360"/>
        <w:jc w:val="left"/>
        <w:rPr>
          <w:sz w:val="24"/>
        </w:rPr>
      </w:pPr>
      <w:r>
        <w:rPr>
          <w:sz w:val="24"/>
        </w:rPr>
        <w:t>Zone 624: Min RH &lt; 15% AND sustained wind 15+ mph or gusts 25+</w:t>
      </w:r>
      <w:r>
        <w:rPr>
          <w:spacing w:val="-49"/>
          <w:sz w:val="24"/>
        </w:rPr>
        <w:t> </w:t>
      </w:r>
      <w:r>
        <w:rPr>
          <w:sz w:val="24"/>
        </w:rPr>
        <w:t>mph lasting for 2 or more</w:t>
      </w:r>
      <w:r>
        <w:rPr>
          <w:spacing w:val="-11"/>
          <w:sz w:val="24"/>
        </w:rPr>
        <w:t> </w:t>
      </w:r>
      <w:r>
        <w:rPr>
          <w:sz w:val="24"/>
        </w:rPr>
        <w:t>hours.</w:t>
      </w:r>
    </w:p>
    <w:p>
      <w:pPr>
        <w:pStyle w:val="BodyText"/>
        <w:spacing w:before="8"/>
      </w:pPr>
    </w:p>
    <w:p>
      <w:pPr>
        <w:pStyle w:val="ListParagraph"/>
        <w:numPr>
          <w:ilvl w:val="1"/>
          <w:numId w:val="7"/>
        </w:numPr>
        <w:tabs>
          <w:tab w:pos="2539" w:val="left" w:leader="none"/>
          <w:tab w:pos="2540" w:val="left" w:leader="none"/>
        </w:tabs>
        <w:spacing w:line="237" w:lineRule="auto" w:before="0" w:after="0"/>
        <w:ind w:left="2540" w:right="1305" w:hanging="360"/>
        <w:jc w:val="left"/>
        <w:rPr>
          <w:sz w:val="24"/>
        </w:rPr>
      </w:pPr>
      <w:r>
        <w:rPr>
          <w:sz w:val="24"/>
        </w:rPr>
        <w:t>Zone 625: Min RH &lt; 10% AND sustained wind 20+ mph for 2 hours or more. Min RH &lt; 10-14% AND sustained wind 25+ mph for 2 hours or more. Min RH &lt; 15-19% AND sustained wind 30+ mph for 2 hours</w:t>
      </w:r>
      <w:r>
        <w:rPr>
          <w:spacing w:val="-24"/>
          <w:sz w:val="24"/>
        </w:rPr>
        <w:t> </w:t>
      </w:r>
      <w:r>
        <w:rPr>
          <w:sz w:val="24"/>
        </w:rPr>
        <w:t>or</w:t>
      </w:r>
    </w:p>
    <w:p>
      <w:pPr>
        <w:spacing w:after="0" w:line="237" w:lineRule="auto"/>
        <w:jc w:val="left"/>
        <w:rPr>
          <w:sz w:val="24"/>
        </w:rPr>
        <w:sectPr>
          <w:pgSz w:w="12240" w:h="15840"/>
          <w:pgMar w:header="0" w:footer="1023" w:top="1420" w:bottom="1240" w:left="340" w:right="620"/>
        </w:sectPr>
      </w:pPr>
    </w:p>
    <w:p>
      <w:pPr>
        <w:pStyle w:val="BodyText"/>
        <w:spacing w:before="75"/>
        <w:ind w:left="2540"/>
      </w:pPr>
      <w:r>
        <w:rPr/>
        <w:t>more.</w:t>
      </w:r>
    </w:p>
    <w:p>
      <w:pPr>
        <w:pStyle w:val="BodyText"/>
      </w:pPr>
    </w:p>
    <w:p>
      <w:pPr>
        <w:pStyle w:val="Heading8"/>
        <w:numPr>
          <w:ilvl w:val="0"/>
          <w:numId w:val="7"/>
        </w:numPr>
        <w:tabs>
          <w:tab w:pos="1820" w:val="left" w:leader="none"/>
        </w:tabs>
        <w:spacing w:line="240" w:lineRule="auto" w:before="0" w:after="0"/>
        <w:ind w:left="1820" w:right="0" w:hanging="360"/>
        <w:jc w:val="left"/>
      </w:pPr>
      <w:bookmarkStart w:name="C. Poor relative humidity recovery with " w:id="54"/>
      <w:bookmarkEnd w:id="54"/>
      <w:r>
        <w:rPr>
          <w:b w:val="0"/>
        </w:rPr>
      </w:r>
      <w:bookmarkStart w:name="C. Poor relative humidity recovery with " w:id="55"/>
      <w:bookmarkEnd w:id="55"/>
      <w:r>
        <w:rPr/>
        <w:t>P</w:t>
      </w:r>
      <w:r>
        <w:rPr/>
        <w:t>oor relative humidity recovery with easterly</w:t>
      </w:r>
      <w:r>
        <w:rPr>
          <w:spacing w:val="-31"/>
        </w:rPr>
        <w:t> </w:t>
      </w:r>
      <w:r>
        <w:rPr/>
        <w:t>winds</w:t>
      </w:r>
    </w:p>
    <w:p>
      <w:pPr>
        <w:pStyle w:val="BodyText"/>
        <w:spacing w:before="3"/>
        <w:rPr>
          <w:b/>
        </w:rPr>
      </w:pPr>
    </w:p>
    <w:p>
      <w:pPr>
        <w:pStyle w:val="ListParagraph"/>
        <w:numPr>
          <w:ilvl w:val="1"/>
          <w:numId w:val="7"/>
        </w:numPr>
        <w:tabs>
          <w:tab w:pos="2539" w:val="left" w:leader="none"/>
          <w:tab w:pos="2540" w:val="left" w:leader="none"/>
        </w:tabs>
        <w:spacing w:line="235" w:lineRule="auto" w:before="1" w:after="0"/>
        <w:ind w:left="2540" w:right="1064" w:hanging="360"/>
        <w:jc w:val="left"/>
        <w:rPr>
          <w:sz w:val="24"/>
        </w:rPr>
      </w:pPr>
      <w:r>
        <w:rPr>
          <w:sz w:val="24"/>
        </w:rPr>
        <w:t>Zones 616, 617: Min RH &lt; 30% AND sustained wind 10+ mph lasting</w:t>
      </w:r>
      <w:r>
        <w:rPr>
          <w:spacing w:val="-48"/>
          <w:sz w:val="24"/>
        </w:rPr>
        <w:t> </w:t>
      </w:r>
      <w:r>
        <w:rPr>
          <w:sz w:val="24"/>
        </w:rPr>
        <w:t>2+ hours.</w:t>
      </w:r>
    </w:p>
    <w:p>
      <w:pPr>
        <w:pStyle w:val="BodyText"/>
        <w:spacing w:before="2"/>
      </w:pPr>
    </w:p>
    <w:p>
      <w:pPr>
        <w:pStyle w:val="ListParagraph"/>
        <w:numPr>
          <w:ilvl w:val="1"/>
          <w:numId w:val="7"/>
        </w:numPr>
        <w:tabs>
          <w:tab w:pos="2539" w:val="left" w:leader="none"/>
          <w:tab w:pos="2540" w:val="left" w:leader="none"/>
        </w:tabs>
        <w:spacing w:line="240" w:lineRule="auto" w:before="1" w:after="0"/>
        <w:ind w:left="2540" w:right="1416" w:hanging="360"/>
        <w:jc w:val="left"/>
        <w:rPr>
          <w:sz w:val="24"/>
        </w:rPr>
      </w:pPr>
      <w:r>
        <w:rPr>
          <w:sz w:val="24"/>
        </w:rPr>
        <w:t>Zones 618: RH recovery &lt; 25% AND sustained wind 15+ mph</w:t>
      </w:r>
      <w:r>
        <w:rPr>
          <w:spacing w:val="-45"/>
          <w:sz w:val="24"/>
        </w:rPr>
        <w:t> </w:t>
      </w:r>
      <w:r>
        <w:rPr>
          <w:sz w:val="24"/>
        </w:rPr>
        <w:t>and/or gusts 25+ mph lasting 2+</w:t>
      </w:r>
      <w:r>
        <w:rPr>
          <w:spacing w:val="-18"/>
          <w:sz w:val="24"/>
        </w:rPr>
        <w:t> </w:t>
      </w:r>
      <w:r>
        <w:rPr>
          <w:sz w:val="24"/>
        </w:rPr>
        <w:t>hours.</w:t>
      </w:r>
    </w:p>
    <w:p>
      <w:pPr>
        <w:pStyle w:val="BodyText"/>
        <w:spacing w:before="10"/>
        <w:rPr>
          <w:sz w:val="23"/>
        </w:rPr>
      </w:pPr>
    </w:p>
    <w:p>
      <w:pPr>
        <w:pStyle w:val="ListParagraph"/>
        <w:numPr>
          <w:ilvl w:val="1"/>
          <w:numId w:val="7"/>
        </w:numPr>
        <w:tabs>
          <w:tab w:pos="2539" w:val="left" w:leader="none"/>
          <w:tab w:pos="2540" w:val="left" w:leader="none"/>
        </w:tabs>
        <w:spacing w:line="240" w:lineRule="auto" w:before="0" w:after="0"/>
        <w:ind w:left="2540" w:right="1226" w:hanging="360"/>
        <w:jc w:val="left"/>
        <w:rPr>
          <w:sz w:val="24"/>
        </w:rPr>
      </w:pPr>
      <w:r>
        <w:rPr>
          <w:sz w:val="24"/>
        </w:rPr>
        <w:t>Zones 619 and 620: RH recovery &lt; 30% AND sustained wind 15+</w:t>
      </w:r>
      <w:r>
        <w:rPr>
          <w:spacing w:val="-44"/>
          <w:sz w:val="24"/>
        </w:rPr>
        <w:t> </w:t>
      </w:r>
      <w:r>
        <w:rPr>
          <w:sz w:val="24"/>
        </w:rPr>
        <w:t>mph and/or gusts 25+ mph lasting 2+</w:t>
      </w:r>
      <w:r>
        <w:rPr>
          <w:spacing w:val="-17"/>
          <w:sz w:val="24"/>
        </w:rPr>
        <w:t> </w:t>
      </w:r>
      <w:r>
        <w:rPr>
          <w:sz w:val="24"/>
        </w:rPr>
        <w:t>hours.</w:t>
      </w:r>
    </w:p>
    <w:p>
      <w:pPr>
        <w:pStyle w:val="BodyText"/>
        <w:spacing w:before="3"/>
      </w:pPr>
    </w:p>
    <w:p>
      <w:pPr>
        <w:pStyle w:val="ListParagraph"/>
        <w:numPr>
          <w:ilvl w:val="1"/>
          <w:numId w:val="7"/>
        </w:numPr>
        <w:tabs>
          <w:tab w:pos="2539" w:val="left" w:leader="none"/>
          <w:tab w:pos="2540" w:val="left" w:leader="none"/>
        </w:tabs>
        <w:spacing w:line="235" w:lineRule="auto" w:before="0" w:after="0"/>
        <w:ind w:left="2540" w:right="1077" w:hanging="360"/>
        <w:jc w:val="left"/>
        <w:rPr>
          <w:sz w:val="24"/>
        </w:rPr>
      </w:pPr>
      <w:r>
        <w:rPr>
          <w:sz w:val="24"/>
        </w:rPr>
        <w:t>Zones 621, 622, 623: RH recovery &lt; 25% AND sustained wind 10+ mph lasting 2+</w:t>
      </w:r>
      <w:r>
        <w:rPr>
          <w:spacing w:val="-3"/>
          <w:sz w:val="24"/>
        </w:rPr>
        <w:t> </w:t>
      </w:r>
      <w:r>
        <w:rPr>
          <w:sz w:val="24"/>
        </w:rPr>
        <w:t>hours.</w:t>
      </w:r>
    </w:p>
    <w:p>
      <w:pPr>
        <w:pStyle w:val="BodyText"/>
        <w:spacing w:before="3"/>
      </w:pPr>
    </w:p>
    <w:p>
      <w:pPr>
        <w:pStyle w:val="Heading8"/>
        <w:numPr>
          <w:ilvl w:val="0"/>
          <w:numId w:val="7"/>
        </w:numPr>
        <w:tabs>
          <w:tab w:pos="1820" w:val="left" w:leader="none"/>
        </w:tabs>
        <w:spacing w:line="240" w:lineRule="auto" w:before="0" w:after="0"/>
        <w:ind w:left="1820" w:right="0" w:hanging="360"/>
        <w:jc w:val="left"/>
      </w:pPr>
      <w:bookmarkStart w:name="D. Haines 6 Conditions = Very Dry and Un" w:id="56"/>
      <w:bookmarkEnd w:id="56"/>
      <w:r>
        <w:rPr>
          <w:b w:val="0"/>
        </w:rPr>
      </w:r>
      <w:bookmarkStart w:name="D. Haines 6 Conditions = Very Dry and Un" w:id="57"/>
      <w:bookmarkEnd w:id="57"/>
      <w:r>
        <w:rPr/>
        <w:t>H</w:t>
      </w:r>
      <w:r>
        <w:rPr/>
        <w:t>aines 6 Conditions = Very Dry and Unstable</w:t>
      </w:r>
      <w:r>
        <w:rPr>
          <w:spacing w:val="-32"/>
        </w:rPr>
        <w:t> </w:t>
      </w:r>
      <w:r>
        <w:rPr/>
        <w:t>Airmass</w:t>
      </w:r>
    </w:p>
    <w:p>
      <w:pPr>
        <w:pStyle w:val="BodyText"/>
        <w:ind w:left="1819"/>
      </w:pPr>
      <w:r>
        <w:rPr/>
        <w:t>Haines Index forecast of 6 in conjunction with an ongoing fire.</w:t>
      </w:r>
    </w:p>
    <w:p>
      <w:pPr>
        <w:pStyle w:val="BodyText"/>
      </w:pPr>
    </w:p>
    <w:p>
      <w:pPr>
        <w:pStyle w:val="BodyText"/>
        <w:ind w:left="1819" w:right="822"/>
      </w:pPr>
      <w:r>
        <w:rPr/>
        <w:t>The Medford Office will issue watches and warnings for the areas expected to experience watch or warning conditions rather than by entire fire weather zone. Thus, if only a portion a fire weather zone will be affected, the watch or warning will only be valid for that portion of the fire weather zone. All attempts will be made to coordinate a Fire Weather Watch or Red Flag Warning with the affected agencies and neighboring fire weather offices prior to issuance. In the event a Red Flag Warning must be issued before the coordination process can be completed, we will contact the affected agencies and neighboring forecast offices shortly afterward. Updates or cancellations of a Fire Weather Watch or Red Flag Warning will also be relayed by telephone to the dispatch office(s) affected by the watch/warning.</w:t>
      </w:r>
    </w:p>
    <w:p>
      <w:pPr>
        <w:spacing w:after="0"/>
        <w:sectPr>
          <w:pgSz w:w="12240" w:h="15840"/>
          <w:pgMar w:header="0" w:footer="1023" w:top="1420" w:bottom="1240" w:left="340" w:right="620"/>
        </w:sectPr>
      </w:pPr>
    </w:p>
    <w:p>
      <w:pPr>
        <w:pStyle w:val="BodyText"/>
        <w:spacing w:before="2"/>
        <w:rPr>
          <w:sz w:val="10"/>
        </w:rPr>
      </w:pPr>
    </w:p>
    <w:p>
      <w:pPr>
        <w:pStyle w:val="Heading5"/>
        <w:spacing w:before="89"/>
        <w:rPr>
          <w:u w:val="none"/>
        </w:rPr>
      </w:pPr>
      <w:bookmarkStart w:name="FIRE WEATHER ZONES:" w:id="58"/>
      <w:bookmarkEnd w:id="58"/>
      <w:r>
        <w:rPr>
          <w:b w:val="0"/>
          <w:u w:val="none"/>
        </w:rPr>
      </w:r>
      <w:r>
        <w:rPr>
          <w:u w:val="thick"/>
        </w:rPr>
        <w:t>FIRE WEATHER ZONES:</w:t>
      </w:r>
    </w:p>
    <w:p>
      <w:pPr>
        <w:pStyle w:val="BodyText"/>
        <w:spacing w:before="4"/>
        <w:rPr>
          <w:b/>
        </w:rPr>
      </w:pPr>
    </w:p>
    <w:p>
      <w:pPr>
        <w:pStyle w:val="Heading8"/>
        <w:spacing w:before="92"/>
      </w:pPr>
      <w:bookmarkStart w:name="AREA 1...COAST (Zones 615 and 618):" w:id="59"/>
      <w:bookmarkEnd w:id="59"/>
      <w:r>
        <w:rPr>
          <w:b w:val="0"/>
        </w:rPr>
      </w:r>
      <w:r>
        <w:rPr/>
        <w:t>AREA 1...COAST (Zones 615 and 618):</w:t>
      </w:r>
    </w:p>
    <w:p>
      <w:pPr>
        <w:pStyle w:val="BodyText"/>
        <w:ind w:left="1100" w:right="1328"/>
      </w:pPr>
      <w:r>
        <w:rPr/>
        <w:t>This area extends from the Pacific Ocean to the foothills of the Coast Range, which rises to a crest of 2500 feet, about 10 to 20 miles inland.</w:t>
      </w:r>
    </w:p>
    <w:p>
      <w:pPr>
        <w:pStyle w:val="BodyText"/>
        <w:spacing w:before="9"/>
        <w:rPr>
          <w:sz w:val="23"/>
        </w:rPr>
      </w:pPr>
    </w:p>
    <w:p>
      <w:pPr>
        <w:pStyle w:val="ListParagraph"/>
        <w:numPr>
          <w:ilvl w:val="0"/>
          <w:numId w:val="8"/>
        </w:numPr>
        <w:tabs>
          <w:tab w:pos="1819" w:val="left" w:leader="none"/>
          <w:tab w:pos="1820" w:val="left" w:leader="none"/>
        </w:tabs>
        <w:spacing w:line="240" w:lineRule="auto" w:before="1" w:after="0"/>
        <w:ind w:left="1820" w:right="929" w:hanging="360"/>
        <w:jc w:val="left"/>
        <w:rPr>
          <w:sz w:val="24"/>
        </w:rPr>
      </w:pPr>
      <w:r>
        <w:rPr>
          <w:sz w:val="24"/>
        </w:rPr>
        <w:t>Zone 615: South-Central Oregon coast. This zone extends from southern border of the Siuslaw National Forest in southern Lane county through Coos County to Humbug Mtn State Park in northern Curry County…and inland from the coast to about</w:t>
      </w:r>
      <w:r>
        <w:rPr>
          <w:spacing w:val="-1"/>
          <w:sz w:val="24"/>
        </w:rPr>
        <w:t> </w:t>
      </w:r>
      <w:r>
        <w:rPr>
          <w:sz w:val="24"/>
        </w:rPr>
        <w:t>10</w:t>
      </w:r>
      <w:r>
        <w:rPr>
          <w:spacing w:val="-1"/>
          <w:sz w:val="24"/>
        </w:rPr>
        <w:t> </w:t>
      </w:r>
      <w:r>
        <w:rPr>
          <w:sz w:val="24"/>
        </w:rPr>
        <w:t>to</w:t>
      </w:r>
      <w:r>
        <w:rPr>
          <w:spacing w:val="-1"/>
          <w:sz w:val="24"/>
        </w:rPr>
        <w:t> </w:t>
      </w:r>
      <w:r>
        <w:rPr>
          <w:sz w:val="24"/>
        </w:rPr>
        <w:t>20</w:t>
      </w:r>
      <w:r>
        <w:rPr>
          <w:spacing w:val="-3"/>
          <w:sz w:val="24"/>
        </w:rPr>
        <w:t> </w:t>
      </w:r>
      <w:r>
        <w:rPr>
          <w:sz w:val="24"/>
        </w:rPr>
        <w:t>miles</w:t>
      </w:r>
      <w:r>
        <w:rPr>
          <w:spacing w:val="-4"/>
          <w:sz w:val="24"/>
        </w:rPr>
        <w:t> </w:t>
      </w:r>
      <w:r>
        <w:rPr>
          <w:sz w:val="24"/>
        </w:rPr>
        <w:t>inland.</w:t>
      </w:r>
      <w:r>
        <w:rPr>
          <w:spacing w:val="-4"/>
          <w:sz w:val="24"/>
        </w:rPr>
        <w:t> </w:t>
      </w:r>
      <w:r>
        <w:rPr>
          <w:sz w:val="24"/>
        </w:rPr>
        <w:t>Elevations</w:t>
      </w:r>
      <w:r>
        <w:rPr>
          <w:spacing w:val="-2"/>
          <w:sz w:val="24"/>
        </w:rPr>
        <w:t> </w:t>
      </w:r>
      <w:r>
        <w:rPr>
          <w:sz w:val="24"/>
        </w:rPr>
        <w:t>range</w:t>
      </w:r>
      <w:r>
        <w:rPr>
          <w:spacing w:val="-3"/>
          <w:sz w:val="24"/>
        </w:rPr>
        <w:t> </w:t>
      </w:r>
      <w:r>
        <w:rPr>
          <w:sz w:val="24"/>
        </w:rPr>
        <w:t>from</w:t>
      </w:r>
      <w:r>
        <w:rPr>
          <w:spacing w:val="-3"/>
          <w:sz w:val="24"/>
        </w:rPr>
        <w:t> </w:t>
      </w:r>
      <w:r>
        <w:rPr>
          <w:sz w:val="24"/>
        </w:rPr>
        <w:t>near</w:t>
      </w:r>
      <w:r>
        <w:rPr>
          <w:spacing w:val="-3"/>
          <w:sz w:val="24"/>
        </w:rPr>
        <w:t> </w:t>
      </w:r>
      <w:r>
        <w:rPr>
          <w:sz w:val="24"/>
        </w:rPr>
        <w:t>sea</w:t>
      </w:r>
      <w:r>
        <w:rPr>
          <w:spacing w:val="-1"/>
          <w:sz w:val="24"/>
        </w:rPr>
        <w:t> </w:t>
      </w:r>
      <w:r>
        <w:rPr>
          <w:sz w:val="24"/>
        </w:rPr>
        <w:t>level</w:t>
      </w:r>
      <w:r>
        <w:rPr>
          <w:spacing w:val="-2"/>
          <w:sz w:val="24"/>
        </w:rPr>
        <w:t> </w:t>
      </w:r>
      <w:r>
        <w:rPr>
          <w:sz w:val="24"/>
        </w:rPr>
        <w:t>to</w:t>
      </w:r>
      <w:r>
        <w:rPr>
          <w:spacing w:val="-6"/>
          <w:sz w:val="24"/>
        </w:rPr>
        <w:t> </w:t>
      </w:r>
      <w:r>
        <w:rPr>
          <w:sz w:val="24"/>
        </w:rPr>
        <w:t>2500</w:t>
      </w:r>
      <w:r>
        <w:rPr>
          <w:spacing w:val="-31"/>
          <w:sz w:val="24"/>
        </w:rPr>
        <w:t> </w:t>
      </w:r>
      <w:r>
        <w:rPr>
          <w:sz w:val="24"/>
        </w:rPr>
        <w:t>feet.</w:t>
      </w:r>
    </w:p>
    <w:p>
      <w:pPr>
        <w:pStyle w:val="BodyText"/>
        <w:spacing w:before="10"/>
        <w:rPr>
          <w:sz w:val="23"/>
        </w:rPr>
      </w:pPr>
    </w:p>
    <w:p>
      <w:pPr>
        <w:pStyle w:val="ListParagraph"/>
        <w:numPr>
          <w:ilvl w:val="0"/>
          <w:numId w:val="8"/>
        </w:numPr>
        <w:tabs>
          <w:tab w:pos="1819" w:val="left" w:leader="none"/>
          <w:tab w:pos="1820" w:val="left" w:leader="none"/>
        </w:tabs>
        <w:spacing w:line="240" w:lineRule="auto" w:before="0" w:after="0"/>
        <w:ind w:left="1820" w:right="1162" w:hanging="360"/>
        <w:jc w:val="left"/>
        <w:rPr>
          <w:sz w:val="24"/>
        </w:rPr>
      </w:pPr>
      <w:r>
        <w:rPr>
          <w:sz w:val="24"/>
        </w:rPr>
        <w:t>Zone</w:t>
      </w:r>
      <w:r>
        <w:rPr>
          <w:spacing w:val="-4"/>
          <w:sz w:val="24"/>
        </w:rPr>
        <w:t> </w:t>
      </w:r>
      <w:r>
        <w:rPr>
          <w:sz w:val="24"/>
        </w:rPr>
        <w:t>618:</w:t>
      </w:r>
      <w:r>
        <w:rPr>
          <w:spacing w:val="-2"/>
          <w:sz w:val="24"/>
        </w:rPr>
        <w:t> </w:t>
      </w:r>
      <w:r>
        <w:rPr>
          <w:sz w:val="24"/>
        </w:rPr>
        <w:t>Southern</w:t>
      </w:r>
      <w:r>
        <w:rPr>
          <w:spacing w:val="-2"/>
          <w:sz w:val="24"/>
        </w:rPr>
        <w:t> </w:t>
      </w:r>
      <w:r>
        <w:rPr>
          <w:sz w:val="24"/>
        </w:rPr>
        <w:t>Oregon</w:t>
      </w:r>
      <w:r>
        <w:rPr>
          <w:spacing w:val="-2"/>
          <w:sz w:val="24"/>
        </w:rPr>
        <w:t> </w:t>
      </w:r>
      <w:r>
        <w:rPr>
          <w:sz w:val="24"/>
        </w:rPr>
        <w:t>coast.</w:t>
      </w:r>
      <w:r>
        <w:rPr>
          <w:spacing w:val="-5"/>
          <w:sz w:val="24"/>
        </w:rPr>
        <w:t> </w:t>
      </w:r>
      <w:r>
        <w:rPr>
          <w:sz w:val="24"/>
        </w:rPr>
        <w:t>This</w:t>
      </w:r>
      <w:r>
        <w:rPr>
          <w:spacing w:val="-3"/>
          <w:sz w:val="24"/>
        </w:rPr>
        <w:t> </w:t>
      </w:r>
      <w:r>
        <w:rPr>
          <w:sz w:val="24"/>
        </w:rPr>
        <w:t>zone</w:t>
      </w:r>
      <w:r>
        <w:rPr>
          <w:spacing w:val="-4"/>
          <w:sz w:val="24"/>
        </w:rPr>
        <w:t> </w:t>
      </w:r>
      <w:r>
        <w:rPr>
          <w:sz w:val="24"/>
        </w:rPr>
        <w:t>extends</w:t>
      </w:r>
      <w:r>
        <w:rPr>
          <w:spacing w:val="-5"/>
          <w:sz w:val="24"/>
        </w:rPr>
        <w:t> </w:t>
      </w:r>
      <w:r>
        <w:rPr>
          <w:sz w:val="24"/>
        </w:rPr>
        <w:t>from</w:t>
      </w:r>
      <w:r>
        <w:rPr>
          <w:spacing w:val="-2"/>
          <w:sz w:val="24"/>
        </w:rPr>
        <w:t> </w:t>
      </w:r>
      <w:r>
        <w:rPr>
          <w:sz w:val="24"/>
        </w:rPr>
        <w:t>Humbug</w:t>
      </w:r>
      <w:r>
        <w:rPr>
          <w:spacing w:val="-4"/>
          <w:sz w:val="24"/>
        </w:rPr>
        <w:t> </w:t>
      </w:r>
      <w:r>
        <w:rPr>
          <w:sz w:val="24"/>
        </w:rPr>
        <w:t>Mtn</w:t>
      </w:r>
      <w:r>
        <w:rPr>
          <w:spacing w:val="-32"/>
          <w:sz w:val="24"/>
        </w:rPr>
        <w:t> </w:t>
      </w:r>
      <w:r>
        <w:rPr>
          <w:sz w:val="24"/>
        </w:rPr>
        <w:t>State Park along the coast to the California state line, and inland for 10 miles. Elevations range from near sea level to 2800</w:t>
      </w:r>
      <w:r>
        <w:rPr>
          <w:spacing w:val="-27"/>
          <w:sz w:val="24"/>
        </w:rPr>
        <w:t> </w:t>
      </w:r>
      <w:r>
        <w:rPr>
          <w:sz w:val="24"/>
        </w:rPr>
        <w:t>feet.</w:t>
      </w:r>
    </w:p>
    <w:p>
      <w:pPr>
        <w:pStyle w:val="BodyText"/>
        <w:spacing w:before="10"/>
        <w:rPr>
          <w:sz w:val="23"/>
        </w:rPr>
      </w:pPr>
    </w:p>
    <w:p>
      <w:pPr>
        <w:pStyle w:val="Heading8"/>
      </w:pPr>
      <w:bookmarkStart w:name="AREA 2...UMPQUA BASIN AND UMPQUA NF (Zon" w:id="60"/>
      <w:bookmarkEnd w:id="60"/>
      <w:r>
        <w:rPr>
          <w:b w:val="0"/>
        </w:rPr>
      </w:r>
      <w:r>
        <w:rPr/>
        <w:t>AREA 2...UMPQUA BASIN AND UMPQUA NF (Zones 616 and 617):</w:t>
      </w:r>
    </w:p>
    <w:p>
      <w:pPr>
        <w:pStyle w:val="BodyText"/>
        <w:ind w:left="1100" w:right="927"/>
      </w:pPr>
      <w:r>
        <w:rPr/>
        <w:t>This is the area between the Coast Range of south-central Oregon in Coos and Douglas counties and the crest of the Cascade Mountain. The western portion of the area, mainly Zone 616 Umpqua Basin, extends from the Coast Range through the Umpqua valley to the foothills of the Cascade Mountain just east of Interstate 5, and varies in elevation with zone 616 ranging between 150 near Roseburg to almost 4000 feet in the Cascade foothills. The eastern portion, zone 617 which encompasses all of the Umpqua NF, rises from 1500 feet to 6000 feet with peaks reaching as high as 7400 feet in the Cascade Range.</w:t>
      </w:r>
    </w:p>
    <w:p>
      <w:pPr>
        <w:pStyle w:val="BodyText"/>
        <w:spacing w:before="4"/>
      </w:pPr>
    </w:p>
    <w:p>
      <w:pPr>
        <w:pStyle w:val="Heading8"/>
        <w:spacing w:line="237" w:lineRule="auto" w:before="1"/>
        <w:ind w:right="1999"/>
      </w:pPr>
      <w:bookmarkStart w:name="AREA 3...SOUTHWEST INTERIOR INCLUDING TH" w:id="61"/>
      <w:bookmarkEnd w:id="61"/>
      <w:r>
        <w:rPr>
          <w:b w:val="0"/>
        </w:rPr>
      </w:r>
      <w:r>
        <w:rPr/>
        <w:t>AREA 3...SOUTHWEST INTERIOR INCLUDING THE CASCADE AND THE SISKIYOU MOUNTAINS (Zones 619-623):</w:t>
      </w:r>
    </w:p>
    <w:p>
      <w:pPr>
        <w:pStyle w:val="BodyText"/>
        <w:spacing w:before="1"/>
        <w:ind w:left="1099" w:right="820"/>
      </w:pPr>
      <w:r>
        <w:rPr/>
        <w:t>This area has complex terrain. The western boundary begins with the Coast Range, and includes the Kalmiopsis Wilderness Area where elevations range from 3000 to 5000 feet. The northern boundary is the Umpqua Divide which separates the Rogue Valley from the Umpqua Valley. The area's eastern boundary includes the Cascade Mountains, where elevations can reach 6500 feet with a few peaks over 8000 feet high. Crater Lake is in the very northeast corner of this area. The southern part of the area is bounded by the Siskiyou Mountains, where elevations can reach 7000 feet. Mount Ashland is in the southern portion of this</w:t>
      </w:r>
      <w:r>
        <w:rPr>
          <w:spacing w:val="-16"/>
        </w:rPr>
        <w:t> </w:t>
      </w:r>
      <w:r>
        <w:rPr/>
        <w:t>area.</w:t>
      </w:r>
    </w:p>
    <w:p>
      <w:pPr>
        <w:pStyle w:val="BodyText"/>
        <w:spacing w:before="10"/>
      </w:pPr>
    </w:p>
    <w:p>
      <w:pPr>
        <w:pStyle w:val="ListParagraph"/>
        <w:numPr>
          <w:ilvl w:val="0"/>
          <w:numId w:val="8"/>
        </w:numPr>
        <w:tabs>
          <w:tab w:pos="1819" w:val="left" w:leader="none"/>
          <w:tab w:pos="1820" w:val="left" w:leader="none"/>
        </w:tabs>
        <w:spacing w:line="235" w:lineRule="auto" w:before="0" w:after="0"/>
        <w:ind w:left="1820" w:right="1096" w:hanging="360"/>
        <w:jc w:val="left"/>
        <w:rPr>
          <w:sz w:val="24"/>
        </w:rPr>
      </w:pPr>
      <w:r>
        <w:rPr>
          <w:sz w:val="24"/>
        </w:rPr>
        <w:t>Zone</w:t>
      </w:r>
      <w:r>
        <w:rPr>
          <w:spacing w:val="-5"/>
          <w:sz w:val="24"/>
        </w:rPr>
        <w:t> </w:t>
      </w:r>
      <w:r>
        <w:rPr>
          <w:sz w:val="24"/>
        </w:rPr>
        <w:t>619:</w:t>
      </w:r>
      <w:r>
        <w:rPr>
          <w:spacing w:val="-3"/>
          <w:sz w:val="24"/>
        </w:rPr>
        <w:t> </w:t>
      </w:r>
      <w:r>
        <w:rPr>
          <w:sz w:val="24"/>
        </w:rPr>
        <w:t>Southern</w:t>
      </w:r>
      <w:r>
        <w:rPr>
          <w:spacing w:val="-3"/>
          <w:sz w:val="24"/>
        </w:rPr>
        <w:t> </w:t>
      </w:r>
      <w:r>
        <w:rPr>
          <w:sz w:val="24"/>
        </w:rPr>
        <w:t>Oregon</w:t>
      </w:r>
      <w:r>
        <w:rPr>
          <w:spacing w:val="-3"/>
          <w:sz w:val="24"/>
        </w:rPr>
        <w:t> </w:t>
      </w:r>
      <w:r>
        <w:rPr>
          <w:sz w:val="24"/>
        </w:rPr>
        <w:t>coastal</w:t>
      </w:r>
      <w:r>
        <w:rPr>
          <w:spacing w:val="-7"/>
          <w:sz w:val="24"/>
        </w:rPr>
        <w:t> </w:t>
      </w:r>
      <w:r>
        <w:rPr>
          <w:sz w:val="24"/>
        </w:rPr>
        <w:t>mountains.</w:t>
      </w:r>
      <w:r>
        <w:rPr>
          <w:spacing w:val="-3"/>
          <w:sz w:val="24"/>
        </w:rPr>
        <w:t> </w:t>
      </w:r>
      <w:r>
        <w:rPr>
          <w:sz w:val="24"/>
        </w:rPr>
        <w:t>Elevations</w:t>
      </w:r>
      <w:r>
        <w:rPr>
          <w:spacing w:val="-4"/>
          <w:sz w:val="24"/>
        </w:rPr>
        <w:t> </w:t>
      </w:r>
      <w:r>
        <w:rPr>
          <w:sz w:val="24"/>
        </w:rPr>
        <w:t>range</w:t>
      </w:r>
      <w:r>
        <w:rPr>
          <w:spacing w:val="-5"/>
          <w:sz w:val="24"/>
        </w:rPr>
        <w:t> </w:t>
      </w:r>
      <w:r>
        <w:rPr>
          <w:sz w:val="24"/>
        </w:rPr>
        <w:t>from</w:t>
      </w:r>
      <w:r>
        <w:rPr>
          <w:spacing w:val="-2"/>
          <w:sz w:val="24"/>
        </w:rPr>
        <w:t> </w:t>
      </w:r>
      <w:r>
        <w:rPr>
          <w:sz w:val="24"/>
        </w:rPr>
        <w:t>200</w:t>
      </w:r>
      <w:r>
        <w:rPr>
          <w:spacing w:val="-37"/>
          <w:sz w:val="24"/>
        </w:rPr>
        <w:t> </w:t>
      </w:r>
      <w:r>
        <w:rPr>
          <w:sz w:val="24"/>
        </w:rPr>
        <w:t>feet in coastal valleys to 4600</w:t>
      </w:r>
      <w:r>
        <w:rPr>
          <w:spacing w:val="-12"/>
          <w:sz w:val="24"/>
        </w:rPr>
        <w:t> </w:t>
      </w:r>
      <w:r>
        <w:rPr>
          <w:sz w:val="24"/>
        </w:rPr>
        <w:t>feet.</w:t>
      </w:r>
    </w:p>
    <w:p>
      <w:pPr>
        <w:pStyle w:val="BodyText"/>
        <w:spacing w:before="10"/>
        <w:rPr>
          <w:sz w:val="23"/>
        </w:rPr>
      </w:pPr>
    </w:p>
    <w:p>
      <w:pPr>
        <w:pStyle w:val="ListParagraph"/>
        <w:numPr>
          <w:ilvl w:val="0"/>
          <w:numId w:val="8"/>
        </w:numPr>
        <w:tabs>
          <w:tab w:pos="1820" w:val="left" w:leader="none"/>
        </w:tabs>
        <w:spacing w:line="240" w:lineRule="auto" w:before="0" w:after="0"/>
        <w:ind w:left="1820" w:right="1133" w:hanging="360"/>
        <w:jc w:val="both"/>
        <w:rPr>
          <w:sz w:val="24"/>
        </w:rPr>
      </w:pPr>
      <w:r>
        <w:rPr>
          <w:sz w:val="24"/>
        </w:rPr>
        <w:t>Zone 620: Western Rogue Basin including the Illinois Valley. Elevations range from 650 feet in western Rogue Valley to 5700 feet in the Siskiyou Mountain </w:t>
      </w:r>
      <w:r>
        <w:rPr>
          <w:spacing w:val="-3"/>
          <w:sz w:val="24"/>
        </w:rPr>
        <w:t>in </w:t>
      </w:r>
      <w:r>
        <w:rPr>
          <w:sz w:val="24"/>
        </w:rPr>
        <w:t>southern Josephine</w:t>
      </w:r>
      <w:r>
        <w:rPr>
          <w:spacing w:val="-9"/>
          <w:sz w:val="24"/>
        </w:rPr>
        <w:t> </w:t>
      </w:r>
      <w:r>
        <w:rPr>
          <w:sz w:val="24"/>
        </w:rPr>
        <w:t>County.</w:t>
      </w:r>
    </w:p>
    <w:p>
      <w:pPr>
        <w:pStyle w:val="BodyText"/>
        <w:spacing w:before="10"/>
        <w:rPr>
          <w:sz w:val="23"/>
        </w:rPr>
      </w:pPr>
    </w:p>
    <w:p>
      <w:pPr>
        <w:pStyle w:val="ListParagraph"/>
        <w:numPr>
          <w:ilvl w:val="0"/>
          <w:numId w:val="8"/>
        </w:numPr>
        <w:tabs>
          <w:tab w:pos="1819" w:val="left" w:leader="none"/>
          <w:tab w:pos="1820" w:val="left" w:leader="none"/>
        </w:tabs>
        <w:spacing w:line="240" w:lineRule="auto" w:before="0" w:after="0"/>
        <w:ind w:left="1820" w:right="1295" w:hanging="360"/>
        <w:jc w:val="left"/>
        <w:rPr>
          <w:sz w:val="24"/>
        </w:rPr>
      </w:pPr>
      <w:r>
        <w:rPr>
          <w:sz w:val="24"/>
        </w:rPr>
        <w:t>Zone</w:t>
      </w:r>
      <w:r>
        <w:rPr>
          <w:spacing w:val="-5"/>
          <w:sz w:val="24"/>
        </w:rPr>
        <w:t> </w:t>
      </w:r>
      <w:r>
        <w:rPr>
          <w:sz w:val="24"/>
        </w:rPr>
        <w:t>621:</w:t>
      </w:r>
      <w:r>
        <w:rPr>
          <w:spacing w:val="-3"/>
          <w:sz w:val="24"/>
        </w:rPr>
        <w:t> </w:t>
      </w:r>
      <w:r>
        <w:rPr>
          <w:sz w:val="24"/>
        </w:rPr>
        <w:t>Siskiyou</w:t>
      </w:r>
      <w:r>
        <w:rPr>
          <w:spacing w:val="-3"/>
          <w:sz w:val="24"/>
        </w:rPr>
        <w:t> </w:t>
      </w:r>
      <w:r>
        <w:rPr>
          <w:sz w:val="24"/>
        </w:rPr>
        <w:t>Mountains,</w:t>
      </w:r>
      <w:r>
        <w:rPr>
          <w:spacing w:val="-3"/>
          <w:sz w:val="24"/>
        </w:rPr>
        <w:t> </w:t>
      </w:r>
      <w:r>
        <w:rPr>
          <w:sz w:val="24"/>
        </w:rPr>
        <w:t>including</w:t>
      </w:r>
      <w:r>
        <w:rPr>
          <w:spacing w:val="-5"/>
          <w:sz w:val="24"/>
        </w:rPr>
        <w:t> </w:t>
      </w:r>
      <w:r>
        <w:rPr>
          <w:sz w:val="24"/>
        </w:rPr>
        <w:t>the</w:t>
      </w:r>
      <w:r>
        <w:rPr>
          <w:spacing w:val="-8"/>
          <w:sz w:val="24"/>
        </w:rPr>
        <w:t> </w:t>
      </w:r>
      <w:r>
        <w:rPr>
          <w:sz w:val="24"/>
        </w:rPr>
        <w:t>Siskiyou</w:t>
      </w:r>
      <w:r>
        <w:rPr>
          <w:spacing w:val="-3"/>
          <w:sz w:val="24"/>
        </w:rPr>
        <w:t> </w:t>
      </w:r>
      <w:r>
        <w:rPr>
          <w:sz w:val="24"/>
        </w:rPr>
        <w:t>Fire</w:t>
      </w:r>
      <w:r>
        <w:rPr>
          <w:spacing w:val="-3"/>
          <w:sz w:val="24"/>
        </w:rPr>
        <w:t> </w:t>
      </w:r>
      <w:r>
        <w:rPr>
          <w:sz w:val="24"/>
        </w:rPr>
        <w:t>Zone</w:t>
      </w:r>
      <w:r>
        <w:rPr>
          <w:spacing w:val="-3"/>
          <w:sz w:val="24"/>
        </w:rPr>
        <w:t> </w:t>
      </w:r>
      <w:r>
        <w:rPr>
          <w:sz w:val="24"/>
        </w:rPr>
        <w:t>of</w:t>
      </w:r>
      <w:r>
        <w:rPr>
          <w:spacing w:val="-3"/>
          <w:sz w:val="24"/>
        </w:rPr>
        <w:t> </w:t>
      </w:r>
      <w:r>
        <w:rPr>
          <w:sz w:val="24"/>
        </w:rPr>
        <w:t>the</w:t>
      </w:r>
      <w:r>
        <w:rPr>
          <w:spacing w:val="-32"/>
          <w:sz w:val="24"/>
        </w:rPr>
        <w:t> </w:t>
      </w:r>
      <w:r>
        <w:rPr>
          <w:sz w:val="24"/>
        </w:rPr>
        <w:t>Rogue RiverSiskiyou NF. Elevation ranges from 1800 feet to 7000</w:t>
      </w:r>
      <w:r>
        <w:rPr>
          <w:spacing w:val="-33"/>
          <w:sz w:val="24"/>
        </w:rPr>
        <w:t> </w:t>
      </w:r>
      <w:r>
        <w:rPr>
          <w:sz w:val="24"/>
        </w:rPr>
        <w:t>feet.</w:t>
      </w:r>
    </w:p>
    <w:p>
      <w:pPr>
        <w:spacing w:after="0" w:line="240" w:lineRule="auto"/>
        <w:jc w:val="left"/>
        <w:rPr>
          <w:sz w:val="24"/>
        </w:rPr>
        <w:sectPr>
          <w:footerReference w:type="default" r:id="rId62"/>
          <w:pgSz w:w="12240" w:h="15840"/>
          <w:pgMar w:footer="968" w:header="0" w:top="1500" w:bottom="1160" w:left="340" w:right="620"/>
          <w:pgNumType w:start="30"/>
        </w:sectPr>
      </w:pPr>
    </w:p>
    <w:p>
      <w:pPr>
        <w:pStyle w:val="BodyText"/>
        <w:spacing w:before="8"/>
        <w:rPr>
          <w:sz w:val="9"/>
        </w:rPr>
      </w:pPr>
    </w:p>
    <w:p>
      <w:pPr>
        <w:pStyle w:val="ListParagraph"/>
        <w:numPr>
          <w:ilvl w:val="0"/>
          <w:numId w:val="8"/>
        </w:numPr>
        <w:tabs>
          <w:tab w:pos="1819" w:val="left" w:leader="none"/>
          <w:tab w:pos="1820" w:val="left" w:leader="none"/>
        </w:tabs>
        <w:spacing w:line="235" w:lineRule="auto" w:before="105" w:after="0"/>
        <w:ind w:left="1820" w:right="940" w:hanging="360"/>
        <w:jc w:val="left"/>
        <w:rPr>
          <w:sz w:val="24"/>
        </w:rPr>
      </w:pPr>
      <w:r>
        <w:rPr>
          <w:sz w:val="24"/>
        </w:rPr>
        <w:t>Zone 622: Eastern Rogue Basin. Elevations range from 1200 feet in the </w:t>
      </w:r>
      <w:r>
        <w:rPr>
          <w:spacing w:val="1"/>
          <w:sz w:val="24"/>
        </w:rPr>
        <w:t>valleyto </w:t>
      </w:r>
      <w:r>
        <w:rPr>
          <w:sz w:val="24"/>
        </w:rPr>
        <w:t>5200 feet in the Cascade and Siskiyou</w:t>
      </w:r>
      <w:r>
        <w:rPr>
          <w:spacing w:val="-23"/>
          <w:sz w:val="24"/>
        </w:rPr>
        <w:t> </w:t>
      </w:r>
      <w:r>
        <w:rPr>
          <w:sz w:val="24"/>
        </w:rPr>
        <w:t>Mountains.</w:t>
      </w:r>
    </w:p>
    <w:p>
      <w:pPr>
        <w:pStyle w:val="BodyText"/>
        <w:spacing w:before="1"/>
      </w:pPr>
    </w:p>
    <w:p>
      <w:pPr>
        <w:pStyle w:val="ListParagraph"/>
        <w:numPr>
          <w:ilvl w:val="0"/>
          <w:numId w:val="8"/>
        </w:numPr>
        <w:tabs>
          <w:tab w:pos="1819" w:val="left" w:leader="none"/>
          <w:tab w:pos="1820" w:val="left" w:leader="none"/>
        </w:tabs>
        <w:spacing w:line="240" w:lineRule="auto" w:before="0" w:after="0"/>
        <w:ind w:left="1820" w:right="986" w:hanging="360"/>
        <w:jc w:val="left"/>
        <w:rPr>
          <w:sz w:val="24"/>
        </w:rPr>
      </w:pPr>
      <w:r>
        <w:rPr>
          <w:sz w:val="24"/>
        </w:rPr>
        <w:t>Zone 623: Southern Oregon Cascades including Crater Lake NP, the High Cascades Fire Zone of the Rogue River-Siskiyou NF and the Klamath District of the Fremont-Winema NF. Elevation ranges from 2400 feet to 8500</w:t>
      </w:r>
      <w:r>
        <w:rPr>
          <w:spacing w:val="-44"/>
          <w:sz w:val="24"/>
        </w:rPr>
        <w:t> </w:t>
      </w:r>
      <w:r>
        <w:rPr>
          <w:sz w:val="24"/>
        </w:rPr>
        <w:t>feet.</w:t>
      </w:r>
    </w:p>
    <w:p>
      <w:pPr>
        <w:pStyle w:val="BodyText"/>
        <w:spacing w:before="9"/>
        <w:rPr>
          <w:sz w:val="23"/>
        </w:rPr>
      </w:pPr>
    </w:p>
    <w:p>
      <w:pPr>
        <w:pStyle w:val="Heading8"/>
        <w:spacing w:before="1"/>
      </w:pPr>
      <w:bookmarkStart w:name="AREA 4...EAST OF THE CASCADE MOUNTAIN (Z" w:id="62"/>
      <w:bookmarkEnd w:id="62"/>
      <w:r>
        <w:rPr>
          <w:b w:val="0"/>
        </w:rPr>
      </w:r>
      <w:r>
        <w:rPr/>
        <w:t>AREA 4...EAST OF THE CASCADE MOUNTAIN (Zones 624 and 625):</w:t>
      </w:r>
    </w:p>
    <w:p>
      <w:pPr>
        <w:pStyle w:val="BodyText"/>
        <w:ind w:left="1099" w:right="1103"/>
      </w:pPr>
      <w:r>
        <w:rPr/>
        <w:t>This area extends from the eastern foothills of the Cascade Mountains, eastward through the Klamath Basin and the Fremont-Winema NF, to the south-central Oregon desert. The eastern part of the area closely follows the border between Lake County and Harney County, is representative of high plateaus with desert-like climate and includes the Warner Valley which is the northwestern rim of the Great Basin.</w:t>
      </w:r>
    </w:p>
    <w:p>
      <w:pPr>
        <w:pStyle w:val="BodyText"/>
        <w:spacing w:before="3"/>
      </w:pPr>
    </w:p>
    <w:p>
      <w:pPr>
        <w:pStyle w:val="ListParagraph"/>
        <w:numPr>
          <w:ilvl w:val="0"/>
          <w:numId w:val="8"/>
        </w:numPr>
        <w:tabs>
          <w:tab w:pos="1819" w:val="left" w:leader="none"/>
          <w:tab w:pos="1820" w:val="left" w:leader="none"/>
        </w:tabs>
        <w:spacing w:line="237" w:lineRule="auto" w:before="0" w:after="0"/>
        <w:ind w:left="1820" w:right="1079" w:hanging="360"/>
        <w:jc w:val="left"/>
        <w:rPr>
          <w:sz w:val="24"/>
        </w:rPr>
      </w:pPr>
      <w:r>
        <w:rPr>
          <w:sz w:val="24"/>
        </w:rPr>
        <w:t>Zone 624: Klamath Basin and the Fremont-Winema National Forest. Elevation ranges</w:t>
      </w:r>
      <w:r>
        <w:rPr>
          <w:spacing w:val="-5"/>
          <w:sz w:val="24"/>
        </w:rPr>
        <w:t> </w:t>
      </w:r>
      <w:r>
        <w:rPr>
          <w:sz w:val="24"/>
        </w:rPr>
        <w:t>from</w:t>
      </w:r>
      <w:r>
        <w:rPr>
          <w:spacing w:val="-4"/>
          <w:sz w:val="24"/>
        </w:rPr>
        <w:t> </w:t>
      </w:r>
      <w:r>
        <w:rPr>
          <w:sz w:val="24"/>
        </w:rPr>
        <w:t>around</w:t>
      </w:r>
      <w:r>
        <w:rPr>
          <w:spacing w:val="-4"/>
          <w:sz w:val="24"/>
        </w:rPr>
        <w:t> </w:t>
      </w:r>
      <w:r>
        <w:rPr>
          <w:sz w:val="24"/>
        </w:rPr>
        <w:t>4000</w:t>
      </w:r>
      <w:r>
        <w:rPr>
          <w:spacing w:val="-4"/>
          <w:sz w:val="24"/>
        </w:rPr>
        <w:t> </w:t>
      </w:r>
      <w:r>
        <w:rPr>
          <w:sz w:val="24"/>
        </w:rPr>
        <w:t>feet</w:t>
      </w:r>
      <w:r>
        <w:rPr>
          <w:spacing w:val="-2"/>
          <w:sz w:val="24"/>
        </w:rPr>
        <w:t> </w:t>
      </w:r>
      <w:r>
        <w:rPr>
          <w:sz w:val="24"/>
        </w:rPr>
        <w:t>in</w:t>
      </w:r>
      <w:r>
        <w:rPr>
          <w:spacing w:val="-2"/>
          <w:sz w:val="24"/>
        </w:rPr>
        <w:t> </w:t>
      </w:r>
      <w:r>
        <w:rPr>
          <w:sz w:val="24"/>
        </w:rPr>
        <w:t>the</w:t>
      </w:r>
      <w:r>
        <w:rPr>
          <w:spacing w:val="-2"/>
          <w:sz w:val="24"/>
        </w:rPr>
        <w:t> </w:t>
      </w:r>
      <w:r>
        <w:rPr>
          <w:sz w:val="24"/>
        </w:rPr>
        <w:t>Klamath</w:t>
      </w:r>
      <w:r>
        <w:rPr>
          <w:spacing w:val="-4"/>
          <w:sz w:val="24"/>
        </w:rPr>
        <w:t> </w:t>
      </w:r>
      <w:r>
        <w:rPr>
          <w:sz w:val="24"/>
        </w:rPr>
        <w:t>Basin</w:t>
      </w:r>
      <w:r>
        <w:rPr>
          <w:spacing w:val="-2"/>
          <w:sz w:val="24"/>
        </w:rPr>
        <w:t> </w:t>
      </w:r>
      <w:r>
        <w:rPr>
          <w:sz w:val="24"/>
        </w:rPr>
        <w:t>to</w:t>
      </w:r>
      <w:r>
        <w:rPr>
          <w:spacing w:val="-2"/>
          <w:sz w:val="24"/>
        </w:rPr>
        <w:t> </w:t>
      </w:r>
      <w:r>
        <w:rPr>
          <w:sz w:val="24"/>
        </w:rPr>
        <w:t>the</w:t>
      </w:r>
      <w:r>
        <w:rPr>
          <w:spacing w:val="-2"/>
          <w:sz w:val="24"/>
        </w:rPr>
        <w:t> </w:t>
      </w:r>
      <w:r>
        <w:rPr>
          <w:sz w:val="24"/>
        </w:rPr>
        <w:t>higher</w:t>
      </w:r>
      <w:r>
        <w:rPr>
          <w:spacing w:val="-6"/>
          <w:sz w:val="24"/>
        </w:rPr>
        <w:t> </w:t>
      </w:r>
      <w:r>
        <w:rPr>
          <w:sz w:val="24"/>
        </w:rPr>
        <w:t>peaks</w:t>
      </w:r>
      <w:r>
        <w:rPr>
          <w:spacing w:val="-3"/>
          <w:sz w:val="24"/>
        </w:rPr>
        <w:t> </w:t>
      </w:r>
      <w:r>
        <w:rPr>
          <w:sz w:val="24"/>
        </w:rPr>
        <w:t>of</w:t>
      </w:r>
      <w:r>
        <w:rPr>
          <w:spacing w:val="-33"/>
          <w:sz w:val="24"/>
        </w:rPr>
        <w:t> </w:t>
      </w:r>
      <w:r>
        <w:rPr>
          <w:sz w:val="24"/>
        </w:rPr>
        <w:t>8200 feet.</w:t>
      </w:r>
    </w:p>
    <w:p>
      <w:pPr>
        <w:pStyle w:val="BodyText"/>
        <w:spacing w:before="2"/>
      </w:pPr>
    </w:p>
    <w:p>
      <w:pPr>
        <w:pStyle w:val="ListParagraph"/>
        <w:numPr>
          <w:ilvl w:val="0"/>
          <w:numId w:val="8"/>
        </w:numPr>
        <w:tabs>
          <w:tab w:pos="1819" w:val="left" w:leader="none"/>
          <w:tab w:pos="1820" w:val="left" w:leader="none"/>
        </w:tabs>
        <w:spacing w:line="240" w:lineRule="auto" w:before="0" w:after="0"/>
        <w:ind w:left="1820" w:right="852" w:hanging="360"/>
        <w:jc w:val="left"/>
        <w:rPr>
          <w:sz w:val="24"/>
        </w:rPr>
      </w:pPr>
      <w:r>
        <w:rPr>
          <w:sz w:val="24"/>
        </w:rPr>
        <w:t>Zone 625: South Central Oregon Desert including the Klamath-Lake District of the</w:t>
      </w:r>
      <w:r>
        <w:rPr>
          <w:spacing w:val="-2"/>
          <w:sz w:val="24"/>
        </w:rPr>
        <w:t> </w:t>
      </w:r>
      <w:r>
        <w:rPr>
          <w:sz w:val="24"/>
        </w:rPr>
        <w:t>BLM</w:t>
      </w:r>
      <w:r>
        <w:rPr>
          <w:spacing w:val="-4"/>
          <w:sz w:val="24"/>
        </w:rPr>
        <w:t> </w:t>
      </w:r>
      <w:r>
        <w:rPr>
          <w:sz w:val="24"/>
        </w:rPr>
        <w:t>and</w:t>
      </w:r>
      <w:r>
        <w:rPr>
          <w:spacing w:val="-2"/>
          <w:sz w:val="24"/>
        </w:rPr>
        <w:t> </w:t>
      </w:r>
      <w:r>
        <w:rPr>
          <w:sz w:val="24"/>
        </w:rPr>
        <w:t>the</w:t>
      </w:r>
      <w:r>
        <w:rPr>
          <w:spacing w:val="-4"/>
          <w:sz w:val="24"/>
        </w:rPr>
        <w:t> </w:t>
      </w:r>
      <w:r>
        <w:rPr>
          <w:sz w:val="24"/>
        </w:rPr>
        <w:t>Lakeview</w:t>
      </w:r>
      <w:r>
        <w:rPr>
          <w:spacing w:val="-6"/>
          <w:sz w:val="24"/>
        </w:rPr>
        <w:t> </w:t>
      </w:r>
      <w:r>
        <w:rPr>
          <w:sz w:val="24"/>
        </w:rPr>
        <w:t>Unit</w:t>
      </w:r>
      <w:r>
        <w:rPr>
          <w:spacing w:val="-2"/>
          <w:sz w:val="24"/>
        </w:rPr>
        <w:t> </w:t>
      </w:r>
      <w:r>
        <w:rPr>
          <w:sz w:val="24"/>
        </w:rPr>
        <w:t>of</w:t>
      </w:r>
      <w:r>
        <w:rPr>
          <w:spacing w:val="-2"/>
          <w:sz w:val="24"/>
        </w:rPr>
        <w:t> </w:t>
      </w:r>
      <w:r>
        <w:rPr>
          <w:sz w:val="24"/>
        </w:rPr>
        <w:t>the</w:t>
      </w:r>
      <w:r>
        <w:rPr>
          <w:spacing w:val="-4"/>
          <w:sz w:val="24"/>
        </w:rPr>
        <w:t> </w:t>
      </w:r>
      <w:r>
        <w:rPr>
          <w:sz w:val="24"/>
        </w:rPr>
        <w:t>State</w:t>
      </w:r>
      <w:r>
        <w:rPr>
          <w:spacing w:val="-4"/>
          <w:sz w:val="24"/>
        </w:rPr>
        <w:t> </w:t>
      </w:r>
      <w:r>
        <w:rPr>
          <w:sz w:val="24"/>
        </w:rPr>
        <w:t>Forestry.</w:t>
      </w:r>
      <w:r>
        <w:rPr>
          <w:spacing w:val="-2"/>
          <w:sz w:val="24"/>
        </w:rPr>
        <w:t> </w:t>
      </w:r>
      <w:r>
        <w:rPr>
          <w:sz w:val="24"/>
        </w:rPr>
        <w:t>Elevation</w:t>
      </w:r>
      <w:r>
        <w:rPr>
          <w:spacing w:val="-2"/>
          <w:sz w:val="24"/>
        </w:rPr>
        <w:t> </w:t>
      </w:r>
      <w:r>
        <w:rPr>
          <w:sz w:val="24"/>
        </w:rPr>
        <w:t>ranges</w:t>
      </w:r>
      <w:r>
        <w:rPr>
          <w:spacing w:val="-3"/>
          <w:sz w:val="24"/>
        </w:rPr>
        <w:t> </w:t>
      </w:r>
      <w:r>
        <w:rPr>
          <w:sz w:val="24"/>
        </w:rPr>
        <w:t>from</w:t>
      </w:r>
      <w:r>
        <w:rPr>
          <w:spacing w:val="-32"/>
          <w:sz w:val="24"/>
        </w:rPr>
        <w:t> </w:t>
      </w:r>
      <w:r>
        <w:rPr>
          <w:sz w:val="24"/>
        </w:rPr>
        <w:t>4200 feet to 7600</w:t>
      </w:r>
      <w:r>
        <w:rPr>
          <w:spacing w:val="-13"/>
          <w:sz w:val="24"/>
        </w:rPr>
        <w:t> </w:t>
      </w:r>
      <w:r>
        <w:rPr>
          <w:sz w:val="24"/>
        </w:rPr>
        <w:t>feet</w:t>
      </w:r>
    </w:p>
    <w:p>
      <w:pPr>
        <w:pStyle w:val="BodyText"/>
        <w:spacing w:line="275" w:lineRule="exact"/>
        <w:ind w:left="1100"/>
      </w:pPr>
      <w:r>
        <w:rPr>
          <w:w w:val="100"/>
        </w:rPr>
        <w:t>.</w:t>
      </w:r>
    </w:p>
    <w:p>
      <w:pPr>
        <w:pStyle w:val="BodyText"/>
        <w:spacing w:before="3"/>
        <w:rPr>
          <w:sz w:val="13"/>
        </w:rPr>
      </w:pPr>
      <w:r>
        <w:rPr/>
        <w:drawing>
          <wp:anchor distT="0" distB="0" distL="0" distR="0" allowOverlap="1" layoutInCell="1" locked="0" behindDoc="0" simplePos="0" relativeHeight="1240">
            <wp:simplePos x="0" y="0"/>
            <wp:positionH relativeFrom="page">
              <wp:posOffset>993640</wp:posOffset>
            </wp:positionH>
            <wp:positionV relativeFrom="paragraph">
              <wp:posOffset>121717</wp:posOffset>
            </wp:positionV>
            <wp:extent cx="5790592" cy="2836926"/>
            <wp:effectExtent l="0" t="0" r="0" b="0"/>
            <wp:wrapTopAndBottom/>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63" cstate="print"/>
                    <a:stretch>
                      <a:fillRect/>
                    </a:stretch>
                  </pic:blipFill>
                  <pic:spPr>
                    <a:xfrm>
                      <a:off x="0" y="0"/>
                      <a:ext cx="5790592" cy="2836926"/>
                    </a:xfrm>
                    <a:prstGeom prst="rect">
                      <a:avLst/>
                    </a:prstGeom>
                  </pic:spPr>
                </pic:pic>
              </a:graphicData>
            </a:graphic>
          </wp:anchor>
        </w:drawing>
      </w:r>
    </w:p>
    <w:p>
      <w:pPr>
        <w:spacing w:after="0"/>
        <w:rPr>
          <w:sz w:val="13"/>
        </w:rPr>
        <w:sectPr>
          <w:pgSz w:w="12240" w:h="15840"/>
          <w:pgMar w:header="0" w:footer="968" w:top="1500" w:bottom="1240" w:left="340" w:right="620"/>
        </w:sectPr>
      </w:pPr>
    </w:p>
    <w:p>
      <w:pPr>
        <w:pStyle w:val="BodyText"/>
        <w:spacing w:before="1"/>
        <w:rPr>
          <w:rFonts w:ascii="Times New Roman"/>
          <w:sz w:val="10"/>
        </w:rPr>
      </w:pPr>
    </w:p>
    <w:p>
      <w:pPr>
        <w:pStyle w:val="BodyText"/>
        <w:ind w:left="1335"/>
        <w:rPr>
          <w:rFonts w:ascii="Times New Roman"/>
          <w:sz w:val="20"/>
        </w:rPr>
      </w:pPr>
      <w:r>
        <w:rPr>
          <w:rFonts w:ascii="Times New Roman"/>
          <w:sz w:val="20"/>
        </w:rPr>
        <w:drawing>
          <wp:inline distT="0" distB="0" distL="0" distR="0">
            <wp:extent cx="5427024" cy="6181344"/>
            <wp:effectExtent l="0" t="0" r="0" b="0"/>
            <wp:docPr id="19" name="image13.jpeg" descr=""/>
            <wp:cNvGraphicFramePr>
              <a:graphicFrameLocks noChangeAspect="1"/>
            </wp:cNvGraphicFramePr>
            <a:graphic>
              <a:graphicData uri="http://schemas.openxmlformats.org/drawingml/2006/picture">
                <pic:pic>
                  <pic:nvPicPr>
                    <pic:cNvPr id="20" name="image13.jpeg"/>
                    <pic:cNvPicPr/>
                  </pic:nvPicPr>
                  <pic:blipFill>
                    <a:blip r:embed="rId64" cstate="print"/>
                    <a:stretch>
                      <a:fillRect/>
                    </a:stretch>
                  </pic:blipFill>
                  <pic:spPr>
                    <a:xfrm>
                      <a:off x="0" y="0"/>
                      <a:ext cx="5427024" cy="6181344"/>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968" w:top="1500" w:bottom="1160" w:left="340" w:right="620"/>
        </w:sectPr>
      </w:pPr>
    </w:p>
    <w:p>
      <w:pPr>
        <w:pStyle w:val="Heading4"/>
        <w:ind w:left="3308" w:right="1305" w:hanging="27"/>
        <w:rPr>
          <w:u w:val="none"/>
        </w:rPr>
      </w:pPr>
      <w:r>
        <w:rPr/>
        <w:drawing>
          <wp:anchor distT="0" distB="0" distL="0" distR="0" allowOverlap="1" layoutInCell="1" locked="0" behindDoc="0" simplePos="0" relativeHeight="1264">
            <wp:simplePos x="0" y="0"/>
            <wp:positionH relativeFrom="page">
              <wp:posOffset>1002028</wp:posOffset>
            </wp:positionH>
            <wp:positionV relativeFrom="paragraph">
              <wp:posOffset>79575</wp:posOffset>
            </wp:positionV>
            <wp:extent cx="1218564" cy="1218564"/>
            <wp:effectExtent l="0" t="0" r="0" b="0"/>
            <wp:wrapNone/>
            <wp:docPr id="21" name="image3.png" descr=""/>
            <wp:cNvGraphicFramePr>
              <a:graphicFrameLocks noChangeAspect="1"/>
            </wp:cNvGraphicFramePr>
            <a:graphic>
              <a:graphicData uri="http://schemas.openxmlformats.org/drawingml/2006/picture">
                <pic:pic>
                  <pic:nvPicPr>
                    <pic:cNvPr id="22" name="image3.png"/>
                    <pic:cNvPicPr/>
                  </pic:nvPicPr>
                  <pic:blipFill>
                    <a:blip r:embed="rId7" cstate="print"/>
                    <a:stretch>
                      <a:fillRect/>
                    </a:stretch>
                  </pic:blipFill>
                  <pic:spPr>
                    <a:xfrm>
                      <a:off x="0" y="0"/>
                      <a:ext cx="1218564" cy="1218564"/>
                    </a:xfrm>
                    <a:prstGeom prst="rect">
                      <a:avLst/>
                    </a:prstGeom>
                  </pic:spPr>
                </pic:pic>
              </a:graphicData>
            </a:graphic>
          </wp:anchor>
        </w:drawing>
      </w:r>
      <w:bookmarkStart w:name="NATIONAL WEATHER SERVICE PENDLETON" w:id="63"/>
      <w:bookmarkEnd w:id="63"/>
      <w:r>
        <w:rPr>
          <w:b w:val="0"/>
          <w:u w:val="none"/>
        </w:rPr>
      </w:r>
      <w:bookmarkStart w:name="_bookmark11" w:id="64"/>
      <w:bookmarkEnd w:id="64"/>
      <w:r>
        <w:rPr>
          <w:b w:val="0"/>
          <w:u w:val="none"/>
        </w:rPr>
      </w:r>
      <w:r>
        <w:rPr>
          <w:u w:val="thick"/>
        </w:rPr>
        <w:t>NATIONAL WEATHER SERVICE</w:t>
      </w:r>
      <w:r>
        <w:rPr>
          <w:u w:val="none"/>
        </w:rPr>
        <w:t> </w:t>
      </w:r>
      <w:r>
        <w:rPr>
          <w:u w:val="thick"/>
        </w:rPr>
        <w:t>PENDLETON</w:t>
      </w:r>
    </w:p>
    <w:p>
      <w:pPr>
        <w:pStyle w:val="BodyText"/>
        <w:rPr>
          <w:b/>
          <w:sz w:val="20"/>
        </w:rPr>
      </w:pPr>
    </w:p>
    <w:p>
      <w:pPr>
        <w:pStyle w:val="BodyText"/>
        <w:rPr>
          <w:b/>
          <w:sz w:val="20"/>
        </w:rPr>
      </w:pPr>
    </w:p>
    <w:p>
      <w:pPr>
        <w:pStyle w:val="BodyText"/>
        <w:rPr>
          <w:b/>
          <w:sz w:val="20"/>
        </w:rPr>
      </w:pPr>
    </w:p>
    <w:p>
      <w:pPr>
        <w:pStyle w:val="BodyText"/>
        <w:rPr>
          <w:b/>
          <w:sz w:val="20"/>
        </w:rPr>
      </w:pPr>
    </w:p>
    <w:p>
      <w:pPr>
        <w:pStyle w:val="Heading6"/>
        <w:spacing w:before="230"/>
        <w:ind w:left="1080"/>
        <w:rPr>
          <w:sz w:val="22"/>
        </w:rPr>
      </w:pPr>
      <w:r>
        <w:rPr>
          <w:u w:val="thick"/>
        </w:rPr>
        <w:t>LOCATION</w:t>
      </w:r>
      <w:r>
        <w:rPr>
          <w:sz w:val="22"/>
        </w:rPr>
        <w:t>:</w:t>
      </w:r>
    </w:p>
    <w:p>
      <w:pPr>
        <w:spacing w:before="1"/>
        <w:ind w:left="1080" w:right="7049" w:firstLine="0"/>
        <w:jc w:val="left"/>
        <w:rPr>
          <w:sz w:val="22"/>
        </w:rPr>
      </w:pPr>
      <w:r>
        <w:rPr>
          <w:sz w:val="22"/>
        </w:rPr>
        <w:t>National Weather Service Office 2001 NW 56th Dr.</w:t>
      </w:r>
    </w:p>
    <w:p>
      <w:pPr>
        <w:spacing w:before="0"/>
        <w:ind w:left="1080" w:right="0" w:firstLine="0"/>
        <w:jc w:val="left"/>
        <w:rPr>
          <w:sz w:val="22"/>
        </w:rPr>
      </w:pPr>
      <w:r>
        <w:rPr>
          <w:sz w:val="22"/>
        </w:rPr>
        <w:t>Pendleton, OR 97801</w:t>
      </w:r>
    </w:p>
    <w:p>
      <w:pPr>
        <w:pStyle w:val="BodyText"/>
        <w:rPr>
          <w:sz w:val="22"/>
        </w:rPr>
      </w:pPr>
    </w:p>
    <w:p>
      <w:pPr>
        <w:spacing w:line="253" w:lineRule="exact" w:before="0"/>
        <w:ind w:left="1080" w:right="0" w:firstLine="0"/>
        <w:jc w:val="left"/>
        <w:rPr>
          <w:sz w:val="22"/>
        </w:rPr>
      </w:pPr>
      <w:r>
        <w:rPr>
          <w:sz w:val="22"/>
        </w:rPr>
        <w:t>Office Homepage:</w:t>
      </w:r>
      <w:r>
        <w:rPr>
          <w:spacing w:val="56"/>
          <w:sz w:val="22"/>
        </w:rPr>
        <w:t> </w:t>
      </w:r>
      <w:hyperlink r:id="rId66">
        <w:r>
          <w:rPr>
            <w:color w:val="0000FF"/>
            <w:sz w:val="22"/>
            <w:u w:val="single" w:color="0000FF"/>
          </w:rPr>
          <w:t>http://www.weather.gov/pendleton</w:t>
        </w:r>
      </w:hyperlink>
    </w:p>
    <w:p>
      <w:pPr>
        <w:spacing w:line="252" w:lineRule="exact" w:before="0"/>
        <w:ind w:left="1080" w:right="0" w:firstLine="0"/>
        <w:jc w:val="left"/>
        <w:rPr>
          <w:sz w:val="22"/>
        </w:rPr>
      </w:pPr>
      <w:r>
        <w:rPr>
          <w:sz w:val="22"/>
        </w:rPr>
        <w:t>Fire Weather Webpage: </w:t>
      </w:r>
      <w:hyperlink r:id="rId67">
        <w:r>
          <w:rPr>
            <w:color w:val="0000FF"/>
            <w:sz w:val="22"/>
            <w:u w:val="single" w:color="0000FF"/>
          </w:rPr>
          <w:t>https://www.wrh.noaa.gov/fire2/?wfo=pdt</w:t>
        </w:r>
      </w:hyperlink>
    </w:p>
    <w:p>
      <w:pPr>
        <w:spacing w:before="0"/>
        <w:ind w:left="1080" w:right="1326" w:firstLine="0"/>
        <w:jc w:val="left"/>
        <w:rPr>
          <w:sz w:val="22"/>
        </w:rPr>
      </w:pPr>
      <w:r>
        <w:rPr>
          <w:sz w:val="22"/>
        </w:rPr>
        <w:t>Facebook Page: </w:t>
      </w:r>
      <w:hyperlink r:id="rId68">
        <w:r>
          <w:rPr>
            <w:color w:val="0000FF"/>
            <w:sz w:val="22"/>
            <w:u w:val="single" w:color="0000FF"/>
          </w:rPr>
          <w:t>https://www.facebook.com/US.NationalWeatherService.Pendleton.gov</w:t>
        </w:r>
      </w:hyperlink>
      <w:r>
        <w:rPr>
          <w:color w:val="0000FF"/>
          <w:sz w:val="22"/>
        </w:rPr>
        <w:t> </w:t>
      </w:r>
      <w:r>
        <w:rPr>
          <w:sz w:val="22"/>
        </w:rPr>
        <w:t>Twitter Page:</w:t>
      </w:r>
      <w:r>
        <w:rPr>
          <w:spacing w:val="56"/>
          <w:sz w:val="22"/>
        </w:rPr>
        <w:t> </w:t>
      </w:r>
      <w:hyperlink r:id="rId69">
        <w:r>
          <w:rPr>
            <w:color w:val="0000FF"/>
            <w:sz w:val="22"/>
            <w:u w:val="single" w:color="0000FF"/>
          </w:rPr>
          <w:t>https://twitter.com/NWSPendleton</w:t>
        </w:r>
      </w:hyperlink>
    </w:p>
    <w:p>
      <w:pPr>
        <w:spacing w:line="480" w:lineRule="auto" w:before="0"/>
        <w:ind w:left="1080" w:right="6743" w:firstLine="0"/>
        <w:jc w:val="left"/>
        <w:rPr>
          <w:sz w:val="22"/>
        </w:rPr>
      </w:pPr>
      <w:r>
        <w:rPr>
          <w:sz w:val="22"/>
        </w:rPr>
        <w:t>Twitter Handle: @NWSPendleton (</w:t>
      </w:r>
      <w:r>
        <w:rPr>
          <w:color w:val="0000FF"/>
          <w:sz w:val="22"/>
          <w:u w:val="single" w:color="0000FF"/>
        </w:rPr>
        <w:t>Statement on use of Social Media</w:t>
      </w:r>
      <w:r>
        <w:rPr>
          <w:sz w:val="22"/>
        </w:rPr>
        <w:t>)</w:t>
      </w:r>
    </w:p>
    <w:p>
      <w:pPr>
        <w:pStyle w:val="BodyText"/>
        <w:rPr>
          <w:sz w:val="20"/>
        </w:rPr>
      </w:pPr>
    </w:p>
    <w:p>
      <w:pPr>
        <w:pStyle w:val="Heading6"/>
        <w:spacing w:before="92"/>
        <w:ind w:left="1080"/>
        <w:rPr>
          <w:sz w:val="22"/>
        </w:rPr>
      </w:pPr>
      <w:r>
        <w:rPr>
          <w:u w:val="thick"/>
        </w:rPr>
        <w:t>OFFICE PHONE NUMBERS (all available 24-hours)</w:t>
      </w:r>
      <w:r>
        <w:rPr>
          <w:sz w:val="22"/>
        </w:rPr>
        <w:t>:</w:t>
      </w:r>
    </w:p>
    <w:p>
      <w:pPr>
        <w:tabs>
          <w:tab w:pos="3960" w:val="left" w:leader="none"/>
        </w:tabs>
        <w:spacing w:before="0"/>
        <w:ind w:left="1080" w:right="0" w:firstLine="0"/>
        <w:jc w:val="left"/>
        <w:rPr>
          <w:sz w:val="22"/>
        </w:rPr>
      </w:pPr>
      <w:r>
        <w:rPr>
          <w:sz w:val="22"/>
        </w:rPr>
        <w:t>Fire</w:t>
      </w:r>
      <w:r>
        <w:rPr>
          <w:spacing w:val="-5"/>
          <w:sz w:val="22"/>
        </w:rPr>
        <w:t> </w:t>
      </w:r>
      <w:r>
        <w:rPr>
          <w:sz w:val="22"/>
        </w:rPr>
        <w:t>Weather</w:t>
      </w:r>
      <w:r>
        <w:rPr>
          <w:spacing w:val="-2"/>
          <w:sz w:val="22"/>
        </w:rPr>
        <w:t> </w:t>
      </w:r>
      <w:r>
        <w:rPr>
          <w:sz w:val="22"/>
        </w:rPr>
        <w:t>Desk</w:t>
        <w:tab/>
        <w:t>(541)</w:t>
      </w:r>
      <w:r>
        <w:rPr>
          <w:spacing w:val="-6"/>
          <w:sz w:val="22"/>
        </w:rPr>
        <w:t> </w:t>
      </w:r>
      <w:r>
        <w:rPr>
          <w:sz w:val="22"/>
        </w:rPr>
        <w:t>276-8134</w:t>
      </w:r>
    </w:p>
    <w:p>
      <w:pPr>
        <w:tabs>
          <w:tab w:pos="3960" w:val="left" w:leader="none"/>
        </w:tabs>
        <w:spacing w:line="252" w:lineRule="exact" w:before="2"/>
        <w:ind w:left="1080" w:right="0" w:firstLine="0"/>
        <w:jc w:val="left"/>
        <w:rPr>
          <w:sz w:val="22"/>
        </w:rPr>
      </w:pPr>
      <w:r>
        <w:rPr>
          <w:sz w:val="22"/>
        </w:rPr>
        <w:t>General</w:t>
        <w:tab/>
        <w:t>(541)</w:t>
      </w:r>
      <w:r>
        <w:rPr>
          <w:spacing w:val="-6"/>
          <w:sz w:val="22"/>
        </w:rPr>
        <w:t> </w:t>
      </w:r>
      <w:r>
        <w:rPr>
          <w:sz w:val="22"/>
        </w:rPr>
        <w:t>276-4493</w:t>
      </w:r>
    </w:p>
    <w:p>
      <w:pPr>
        <w:tabs>
          <w:tab w:pos="3960" w:val="left" w:leader="none"/>
        </w:tabs>
        <w:spacing w:line="252" w:lineRule="exact" w:before="0"/>
        <w:ind w:left="1080" w:right="0" w:firstLine="0"/>
        <w:jc w:val="left"/>
        <w:rPr>
          <w:sz w:val="22"/>
        </w:rPr>
      </w:pPr>
      <w:r>
        <w:rPr>
          <w:sz w:val="22"/>
        </w:rPr>
        <w:t>Fax</w:t>
        <w:tab/>
        <w:t>(541)</w:t>
      </w:r>
      <w:r>
        <w:rPr>
          <w:spacing w:val="-6"/>
          <w:sz w:val="22"/>
        </w:rPr>
        <w:t> </w:t>
      </w:r>
      <w:r>
        <w:rPr>
          <w:sz w:val="22"/>
        </w:rPr>
        <w:t>276-8253</w:t>
      </w:r>
    </w:p>
    <w:p>
      <w:pPr>
        <w:pStyle w:val="BodyText"/>
      </w:pPr>
    </w:p>
    <w:p>
      <w:pPr>
        <w:pStyle w:val="BodyText"/>
        <w:spacing w:before="9"/>
        <w:rPr>
          <w:sz w:val="19"/>
        </w:rPr>
      </w:pPr>
    </w:p>
    <w:p>
      <w:pPr>
        <w:pStyle w:val="Heading6"/>
        <w:spacing w:before="1"/>
        <w:ind w:left="1080"/>
        <w:rPr>
          <w:sz w:val="22"/>
        </w:rPr>
      </w:pPr>
      <w:bookmarkStart w:name="UCHANGES FOR 2018U:" w:id="65"/>
      <w:bookmarkEnd w:id="65"/>
      <w:r>
        <w:rPr>
          <w:b w:val="0"/>
        </w:rPr>
      </w:r>
      <w:r>
        <w:rPr>
          <w:u w:val="thick"/>
        </w:rPr>
        <w:t>CHANGES FOR 2018</w:t>
      </w:r>
      <w:r>
        <w:rPr>
          <w:sz w:val="22"/>
        </w:rPr>
        <w:t>:</w:t>
      </w:r>
    </w:p>
    <w:p>
      <w:pPr>
        <w:pStyle w:val="ListParagraph"/>
        <w:numPr>
          <w:ilvl w:val="0"/>
          <w:numId w:val="9"/>
        </w:numPr>
        <w:tabs>
          <w:tab w:pos="1261" w:val="left" w:leader="none"/>
        </w:tabs>
        <w:spacing w:line="240" w:lineRule="auto" w:before="0" w:after="0"/>
        <w:ind w:left="1260" w:right="0" w:hanging="180"/>
        <w:jc w:val="left"/>
        <w:rPr>
          <w:sz w:val="22"/>
        </w:rPr>
      </w:pPr>
      <w:r>
        <w:rPr>
          <w:sz w:val="22"/>
        </w:rPr>
        <w:t>Staff</w:t>
      </w:r>
      <w:r>
        <w:rPr>
          <w:spacing w:val="-3"/>
          <w:sz w:val="22"/>
        </w:rPr>
        <w:t> </w:t>
      </w:r>
      <w:r>
        <w:rPr>
          <w:sz w:val="22"/>
        </w:rPr>
        <w:t>changes.</w:t>
      </w:r>
    </w:p>
    <w:p>
      <w:pPr>
        <w:pStyle w:val="ListParagraph"/>
        <w:numPr>
          <w:ilvl w:val="0"/>
          <w:numId w:val="9"/>
        </w:numPr>
        <w:tabs>
          <w:tab w:pos="1261" w:val="left" w:leader="none"/>
        </w:tabs>
        <w:spacing w:line="253" w:lineRule="exact" w:before="1" w:after="0"/>
        <w:ind w:left="1260" w:right="0" w:hanging="180"/>
        <w:jc w:val="left"/>
        <w:rPr>
          <w:sz w:val="22"/>
        </w:rPr>
      </w:pPr>
      <w:r>
        <w:rPr>
          <w:sz w:val="22"/>
        </w:rPr>
        <w:t>Hours of</w:t>
      </w:r>
      <w:r>
        <w:rPr>
          <w:spacing w:val="1"/>
          <w:sz w:val="22"/>
        </w:rPr>
        <w:t> </w:t>
      </w:r>
      <w:r>
        <w:rPr>
          <w:sz w:val="22"/>
        </w:rPr>
        <w:t>operation.</w:t>
      </w:r>
    </w:p>
    <w:p>
      <w:pPr>
        <w:pStyle w:val="ListParagraph"/>
        <w:numPr>
          <w:ilvl w:val="0"/>
          <w:numId w:val="9"/>
        </w:numPr>
        <w:tabs>
          <w:tab w:pos="1261" w:val="left" w:leader="none"/>
        </w:tabs>
        <w:spacing w:line="253" w:lineRule="exact" w:before="0" w:after="0"/>
        <w:ind w:left="1260" w:right="0" w:hanging="180"/>
        <w:jc w:val="left"/>
        <w:rPr>
          <w:sz w:val="22"/>
        </w:rPr>
      </w:pPr>
      <w:r>
        <w:rPr>
          <w:sz w:val="22"/>
        </w:rPr>
        <w:t>Issuance time of the morning Fire Weather Forecast</w:t>
      </w:r>
      <w:r>
        <w:rPr>
          <w:spacing w:val="-14"/>
          <w:sz w:val="22"/>
        </w:rPr>
        <w:t> </w:t>
      </w:r>
      <w:r>
        <w:rPr>
          <w:sz w:val="22"/>
        </w:rPr>
        <w:t>(FWF)</w:t>
      </w:r>
    </w:p>
    <w:p>
      <w:pPr>
        <w:pStyle w:val="BodyText"/>
      </w:pPr>
    </w:p>
    <w:p>
      <w:pPr>
        <w:pStyle w:val="BodyText"/>
        <w:spacing w:before="10"/>
        <w:rPr>
          <w:sz w:val="31"/>
        </w:rPr>
      </w:pPr>
    </w:p>
    <w:p>
      <w:pPr>
        <w:pStyle w:val="Heading6"/>
        <w:ind w:left="1080"/>
        <w:rPr>
          <w:sz w:val="22"/>
        </w:rPr>
      </w:pPr>
      <w:r>
        <w:rPr>
          <w:u w:val="thick"/>
        </w:rPr>
        <w:t>FORECAST DISTRICT</w:t>
      </w:r>
      <w:r>
        <w:rPr>
          <w:sz w:val="22"/>
        </w:rPr>
        <w:t>:</w:t>
      </w:r>
    </w:p>
    <w:p>
      <w:pPr>
        <w:spacing w:before="1"/>
        <w:ind w:left="1080" w:right="1156" w:firstLine="0"/>
        <w:jc w:val="left"/>
        <w:rPr>
          <w:sz w:val="22"/>
        </w:rPr>
      </w:pPr>
      <w:r>
        <w:rPr>
          <w:sz w:val="22"/>
        </w:rPr>
        <w:t>The Pendleton Fire Weather District covers the east slopes of the Cascade Mountain range from the Deschutes National Forest north to the alpine reaches of the Yakama Indian Reservation, Central Oregon, the northeast quadrant of Oregon (including Wallowa county, portions of Baker county, and Harney county north of highway 20), and Southeast Washington (Benton, Franklin, Klickitat, Yakima, Walla Walla, Columbia, Garfield, and Asotin counties).</w:t>
      </w:r>
    </w:p>
    <w:p>
      <w:pPr>
        <w:spacing w:after="0"/>
        <w:jc w:val="left"/>
        <w:rPr>
          <w:sz w:val="22"/>
        </w:rPr>
        <w:sectPr>
          <w:footerReference w:type="default" r:id="rId65"/>
          <w:pgSz w:w="12240" w:h="15840"/>
          <w:pgMar w:footer="968" w:header="0" w:top="1500" w:bottom="1160" w:left="340" w:right="620"/>
          <w:pgNumType w:start="35"/>
        </w:sectPr>
      </w:pPr>
    </w:p>
    <w:p>
      <w:pPr>
        <w:pStyle w:val="BodyText"/>
        <w:rPr>
          <w:sz w:val="20"/>
        </w:rPr>
      </w:pPr>
    </w:p>
    <w:p>
      <w:pPr>
        <w:pStyle w:val="BodyText"/>
        <w:spacing w:before="8"/>
        <w:rPr>
          <w:sz w:val="15"/>
        </w:rPr>
      </w:pPr>
    </w:p>
    <w:p>
      <w:pPr>
        <w:pStyle w:val="Heading6"/>
        <w:spacing w:before="92"/>
        <w:ind w:left="1080"/>
        <w:rPr>
          <w:sz w:val="22"/>
        </w:rPr>
      </w:pPr>
      <w:r>
        <w:rPr>
          <w:u w:val="thick"/>
        </w:rPr>
        <w:t>OFFICE HOURS</w:t>
      </w:r>
      <w:r>
        <w:rPr>
          <w:sz w:val="22"/>
        </w:rPr>
        <w:t>:</w:t>
      </w:r>
    </w:p>
    <w:p>
      <w:pPr>
        <w:spacing w:before="1"/>
        <w:ind w:left="1080" w:right="1105" w:firstLine="0"/>
        <w:jc w:val="left"/>
        <w:rPr>
          <w:sz w:val="22"/>
        </w:rPr>
      </w:pPr>
      <w:r>
        <w:rPr>
          <w:sz w:val="22"/>
        </w:rPr>
        <w:t>The Pendleton Fire Weather Program is committed to a program with staff trained to respond to incident needs 24 hours per day, 7 days a week. Fire Weather shifts are currently scheduled during the following times with end dates remaining flexible to meet conditions and the needs of the community:</w:t>
      </w:r>
    </w:p>
    <w:p>
      <w:pPr>
        <w:pStyle w:val="BodyText"/>
        <w:spacing w:before="10"/>
        <w:rPr>
          <w:sz w:val="20"/>
        </w:rPr>
      </w:pPr>
    </w:p>
    <w:p>
      <w:pPr>
        <w:pStyle w:val="Heading7"/>
        <w:rPr>
          <w:i/>
        </w:rPr>
      </w:pPr>
      <w:bookmarkStart w:name="Spring / Fall Burning Seasons:  7:00 AM " w:id="66"/>
      <w:bookmarkEnd w:id="66"/>
      <w:r>
        <w:rPr>
          <w:b w:val="0"/>
          <w:i w:val="0"/>
        </w:rPr>
      </w:r>
      <w:r>
        <w:rPr>
          <w:i/>
        </w:rPr>
        <w:t>Spring / Fall Burning Seasons: 7:00 AM - 3:00 PM Monday - Friday</w:t>
      </w:r>
    </w:p>
    <w:p>
      <w:pPr>
        <w:spacing w:before="60"/>
        <w:ind w:left="1080" w:right="0" w:firstLine="0"/>
        <w:jc w:val="left"/>
        <w:rPr>
          <w:sz w:val="22"/>
        </w:rPr>
      </w:pPr>
      <w:r>
        <w:rPr>
          <w:sz w:val="22"/>
        </w:rPr>
        <w:t>April 2rd – May 25</w:t>
      </w:r>
      <w:r>
        <w:rPr>
          <w:sz w:val="22"/>
          <w:vertAlign w:val="superscript"/>
        </w:rPr>
        <w:t>th</w:t>
      </w:r>
      <w:r>
        <w:rPr>
          <w:sz w:val="22"/>
          <w:vertAlign w:val="baseline"/>
        </w:rPr>
        <w:t> and October 1</w:t>
      </w:r>
      <w:r>
        <w:rPr>
          <w:sz w:val="22"/>
          <w:vertAlign w:val="superscript"/>
        </w:rPr>
        <w:t>nd</w:t>
      </w:r>
      <w:r>
        <w:rPr>
          <w:sz w:val="22"/>
          <w:vertAlign w:val="baseline"/>
        </w:rPr>
        <w:t> – October 26</w:t>
      </w:r>
      <w:r>
        <w:rPr>
          <w:sz w:val="22"/>
          <w:vertAlign w:val="superscript"/>
        </w:rPr>
        <w:t>th</w:t>
      </w:r>
    </w:p>
    <w:p>
      <w:pPr>
        <w:pStyle w:val="BodyText"/>
        <w:spacing w:before="8"/>
        <w:rPr>
          <w:sz w:val="20"/>
        </w:rPr>
      </w:pPr>
    </w:p>
    <w:p>
      <w:pPr>
        <w:pStyle w:val="Heading7"/>
        <w:rPr>
          <w:i/>
        </w:rPr>
      </w:pPr>
      <w:bookmarkStart w:name="Summer Peak Wildfire Season:  7:00 AM - " w:id="67"/>
      <w:bookmarkEnd w:id="67"/>
      <w:r>
        <w:rPr>
          <w:b w:val="0"/>
          <w:i w:val="0"/>
        </w:rPr>
      </w:r>
      <w:r>
        <w:rPr>
          <w:i/>
        </w:rPr>
        <w:t>Summer Peak Wildfire Season: 7:00 AM - 3:00 PM 7 days a week</w:t>
      </w:r>
    </w:p>
    <w:p>
      <w:pPr>
        <w:spacing w:before="61"/>
        <w:ind w:left="1080" w:right="0" w:firstLine="0"/>
        <w:jc w:val="left"/>
        <w:rPr>
          <w:sz w:val="22"/>
        </w:rPr>
      </w:pPr>
      <w:r>
        <w:rPr>
          <w:sz w:val="22"/>
        </w:rPr>
        <w:t>May 26</w:t>
      </w:r>
      <w:r>
        <w:rPr>
          <w:sz w:val="22"/>
          <w:vertAlign w:val="superscript"/>
        </w:rPr>
        <w:t>th</w:t>
      </w:r>
      <w:r>
        <w:rPr>
          <w:sz w:val="22"/>
          <w:vertAlign w:val="baseline"/>
        </w:rPr>
        <w:t> – September 30</w:t>
      </w:r>
      <w:r>
        <w:rPr>
          <w:sz w:val="22"/>
          <w:vertAlign w:val="superscript"/>
        </w:rPr>
        <w:t>th</w:t>
      </w:r>
    </w:p>
    <w:p>
      <w:pPr>
        <w:pStyle w:val="BodyText"/>
        <w:spacing w:before="8"/>
        <w:rPr>
          <w:sz w:val="28"/>
        </w:rPr>
      </w:pPr>
    </w:p>
    <w:tbl>
      <w:tblPr>
        <w:tblW w:w="0" w:type="auto"/>
        <w:jc w:val="left"/>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0"/>
        <w:gridCol w:w="4011"/>
        <w:gridCol w:w="2802"/>
      </w:tblGrid>
      <w:tr>
        <w:trPr>
          <w:trHeight w:val="570" w:hRule="atLeast"/>
        </w:trPr>
        <w:tc>
          <w:tcPr>
            <w:tcW w:w="1570" w:type="dxa"/>
          </w:tcPr>
          <w:p>
            <w:pPr>
              <w:pStyle w:val="TableParagraph"/>
              <w:spacing w:line="314" w:lineRule="exact"/>
              <w:rPr>
                <w:b/>
                <w:sz w:val="22"/>
              </w:rPr>
            </w:pPr>
            <w:r>
              <w:rPr>
                <w:b/>
                <w:sz w:val="28"/>
                <w:u w:val="thick"/>
              </w:rPr>
              <w:t>STAFF</w:t>
            </w:r>
            <w:r>
              <w:rPr>
                <w:b/>
                <w:sz w:val="22"/>
              </w:rPr>
              <w:t>:</w:t>
            </w:r>
          </w:p>
          <w:p>
            <w:pPr>
              <w:pStyle w:val="TableParagraph"/>
              <w:spacing w:line="236" w:lineRule="exact"/>
              <w:rPr>
                <w:sz w:val="22"/>
              </w:rPr>
            </w:pPr>
            <w:r>
              <w:rPr>
                <w:sz w:val="22"/>
                <w:u w:val="single"/>
              </w:rPr>
              <w:t>Name</w:t>
            </w:r>
          </w:p>
        </w:tc>
        <w:tc>
          <w:tcPr>
            <w:tcW w:w="4011" w:type="dxa"/>
          </w:tcPr>
          <w:p>
            <w:pPr>
              <w:pStyle w:val="TableParagraph"/>
              <w:spacing w:before="3"/>
              <w:rPr>
                <w:sz w:val="27"/>
              </w:rPr>
            </w:pPr>
          </w:p>
          <w:p>
            <w:pPr>
              <w:pStyle w:val="TableParagraph"/>
              <w:spacing w:line="236" w:lineRule="exact" w:before="1"/>
              <w:ind w:left="321"/>
              <w:rPr>
                <w:sz w:val="22"/>
              </w:rPr>
            </w:pPr>
            <w:r>
              <w:rPr>
                <w:sz w:val="22"/>
                <w:u w:val="single"/>
              </w:rPr>
              <w:t>Position</w:t>
            </w:r>
          </w:p>
        </w:tc>
        <w:tc>
          <w:tcPr>
            <w:tcW w:w="2802" w:type="dxa"/>
          </w:tcPr>
          <w:p>
            <w:pPr>
              <w:pStyle w:val="TableParagraph"/>
              <w:spacing w:before="3"/>
              <w:rPr>
                <w:sz w:val="27"/>
              </w:rPr>
            </w:pPr>
          </w:p>
          <w:p>
            <w:pPr>
              <w:pStyle w:val="TableParagraph"/>
              <w:spacing w:line="236" w:lineRule="exact" w:before="1"/>
              <w:ind w:left="179"/>
              <w:rPr>
                <w:sz w:val="22"/>
              </w:rPr>
            </w:pPr>
            <w:r>
              <w:rPr>
                <w:sz w:val="22"/>
                <w:u w:val="single"/>
              </w:rPr>
              <w:t>email Address</w:t>
            </w:r>
          </w:p>
        </w:tc>
      </w:tr>
      <w:tr>
        <w:trPr>
          <w:trHeight w:val="253" w:hRule="atLeast"/>
        </w:trPr>
        <w:tc>
          <w:tcPr>
            <w:tcW w:w="1570" w:type="dxa"/>
          </w:tcPr>
          <w:p>
            <w:pPr>
              <w:pStyle w:val="TableParagraph"/>
              <w:spacing w:line="233" w:lineRule="exact"/>
              <w:rPr>
                <w:sz w:val="22"/>
              </w:rPr>
            </w:pPr>
            <w:r>
              <w:rPr>
                <w:sz w:val="22"/>
              </w:rPr>
              <w:t>Mike Vescio</w:t>
            </w:r>
          </w:p>
        </w:tc>
        <w:tc>
          <w:tcPr>
            <w:tcW w:w="4011" w:type="dxa"/>
          </w:tcPr>
          <w:p>
            <w:pPr>
              <w:pStyle w:val="TableParagraph"/>
              <w:spacing w:line="233" w:lineRule="exact"/>
              <w:ind w:left="321"/>
              <w:rPr>
                <w:sz w:val="22"/>
              </w:rPr>
            </w:pPr>
            <w:r>
              <w:rPr>
                <w:sz w:val="22"/>
              </w:rPr>
              <w:t>Meteorologist-in-Charge</w:t>
            </w:r>
          </w:p>
        </w:tc>
        <w:tc>
          <w:tcPr>
            <w:tcW w:w="2802" w:type="dxa"/>
          </w:tcPr>
          <w:p>
            <w:pPr>
              <w:pStyle w:val="TableParagraph"/>
              <w:spacing w:line="233" w:lineRule="exact"/>
              <w:ind w:left="179"/>
              <w:rPr>
                <w:sz w:val="22"/>
              </w:rPr>
            </w:pPr>
            <w:hyperlink r:id="rId70">
              <w:r>
                <w:rPr>
                  <w:color w:val="0000FF"/>
                  <w:sz w:val="22"/>
                  <w:u w:val="single" w:color="0000FF"/>
                </w:rPr>
                <w:t>michael.vescio@noaa.gov</w:t>
              </w:r>
            </w:hyperlink>
          </w:p>
        </w:tc>
      </w:tr>
      <w:tr>
        <w:trPr>
          <w:trHeight w:val="240" w:hRule="atLeast"/>
        </w:trPr>
        <w:tc>
          <w:tcPr>
            <w:tcW w:w="1570" w:type="dxa"/>
            <w:tcBorders>
              <w:bottom w:val="single" w:sz="8" w:space="0" w:color="0000FF"/>
            </w:tcBorders>
          </w:tcPr>
          <w:p>
            <w:pPr>
              <w:pStyle w:val="TableParagraph"/>
              <w:spacing w:line="206" w:lineRule="exact"/>
              <w:rPr>
                <w:sz w:val="22"/>
              </w:rPr>
            </w:pPr>
            <w:r>
              <w:rPr>
                <w:color w:val="0000FF"/>
                <w:sz w:val="22"/>
              </w:rPr>
              <w:t>Zaaron Allen</w:t>
            </w:r>
          </w:p>
        </w:tc>
        <w:tc>
          <w:tcPr>
            <w:tcW w:w="4011" w:type="dxa"/>
            <w:tcBorders>
              <w:bottom w:val="single" w:sz="8" w:space="0" w:color="0000FF"/>
            </w:tcBorders>
          </w:tcPr>
          <w:p>
            <w:pPr>
              <w:pStyle w:val="TableParagraph"/>
              <w:spacing w:line="206" w:lineRule="exact"/>
              <w:ind w:left="321"/>
              <w:rPr>
                <w:sz w:val="22"/>
              </w:rPr>
            </w:pPr>
            <w:r>
              <w:rPr>
                <w:color w:val="0000FF"/>
                <w:sz w:val="22"/>
              </w:rPr>
              <w:t>Science and Operations Officer</w:t>
            </w:r>
          </w:p>
        </w:tc>
        <w:tc>
          <w:tcPr>
            <w:tcW w:w="2802" w:type="dxa"/>
            <w:tcBorders>
              <w:bottom w:val="single" w:sz="8" w:space="0" w:color="0000FF"/>
            </w:tcBorders>
          </w:tcPr>
          <w:p>
            <w:pPr>
              <w:pStyle w:val="TableParagraph"/>
              <w:spacing w:line="206" w:lineRule="exact"/>
              <w:ind w:left="179"/>
              <w:rPr>
                <w:sz w:val="22"/>
              </w:rPr>
            </w:pPr>
            <w:hyperlink r:id="rId71">
              <w:r>
                <w:rPr>
                  <w:color w:val="0000FF"/>
                  <w:sz w:val="22"/>
                </w:rPr>
                <w:t>zaaron.allen@noaa.gov</w:t>
              </w:r>
            </w:hyperlink>
          </w:p>
        </w:tc>
      </w:tr>
      <w:tr>
        <w:trPr>
          <w:trHeight w:val="496" w:hRule="atLeast"/>
        </w:trPr>
        <w:tc>
          <w:tcPr>
            <w:tcW w:w="1570" w:type="dxa"/>
            <w:tcBorders>
              <w:top w:val="single" w:sz="8" w:space="0" w:color="0000FF"/>
            </w:tcBorders>
          </w:tcPr>
          <w:p>
            <w:pPr>
              <w:pStyle w:val="TableParagraph"/>
              <w:spacing w:line="250" w:lineRule="atLeast" w:before="3"/>
              <w:ind w:right="392"/>
              <w:rPr>
                <w:sz w:val="22"/>
              </w:rPr>
            </w:pPr>
            <w:r>
              <w:rPr>
                <w:sz w:val="22"/>
              </w:rPr>
              <w:t>vacant Mary</w:t>
            </w:r>
            <w:r>
              <w:rPr>
                <w:spacing w:val="-3"/>
                <w:sz w:val="22"/>
              </w:rPr>
              <w:t> </w:t>
            </w:r>
            <w:r>
              <w:rPr>
                <w:sz w:val="22"/>
              </w:rPr>
              <w:t>Wister</w:t>
            </w:r>
          </w:p>
        </w:tc>
        <w:tc>
          <w:tcPr>
            <w:tcW w:w="4011" w:type="dxa"/>
            <w:tcBorders>
              <w:top w:val="single" w:sz="8" w:space="0" w:color="0000FF"/>
            </w:tcBorders>
          </w:tcPr>
          <w:p>
            <w:pPr>
              <w:pStyle w:val="TableParagraph"/>
              <w:spacing w:line="250" w:lineRule="atLeast" w:before="3"/>
              <w:ind w:left="321" w:right="160"/>
              <w:rPr>
                <w:sz w:val="22"/>
              </w:rPr>
            </w:pPr>
            <w:r>
              <w:rPr>
                <w:sz w:val="22"/>
              </w:rPr>
              <w:t>Warning Coordination Meteorologist Fire Weather Program Leader/IMET</w:t>
            </w:r>
          </w:p>
        </w:tc>
        <w:tc>
          <w:tcPr>
            <w:tcW w:w="2802" w:type="dxa"/>
            <w:tcBorders>
              <w:top w:val="single" w:sz="8" w:space="0" w:color="0000FF"/>
            </w:tcBorders>
          </w:tcPr>
          <w:p>
            <w:pPr>
              <w:pStyle w:val="TableParagraph"/>
              <w:spacing w:before="4"/>
              <w:rPr>
                <w:sz w:val="22"/>
              </w:rPr>
            </w:pPr>
          </w:p>
          <w:p>
            <w:pPr>
              <w:pStyle w:val="TableParagraph"/>
              <w:spacing w:line="233" w:lineRule="exact"/>
              <w:ind w:left="178"/>
              <w:rPr>
                <w:sz w:val="22"/>
              </w:rPr>
            </w:pPr>
            <w:hyperlink r:id="rId72">
              <w:r>
                <w:rPr>
                  <w:color w:val="0000FF"/>
                  <w:sz w:val="22"/>
                  <w:u w:val="single" w:color="0000FF"/>
                </w:rPr>
                <w:t>mary.wister@noaa.gov</w:t>
              </w:r>
            </w:hyperlink>
          </w:p>
        </w:tc>
      </w:tr>
    </w:tbl>
    <w:p>
      <w:pPr>
        <w:pStyle w:val="BodyText"/>
        <w:rPr>
          <w:sz w:val="26"/>
        </w:rPr>
      </w:pPr>
    </w:p>
    <w:p>
      <w:pPr>
        <w:spacing w:before="206"/>
        <w:ind w:left="1080" w:right="1319" w:firstLine="0"/>
        <w:jc w:val="both"/>
        <w:rPr>
          <w:sz w:val="22"/>
        </w:rPr>
      </w:pPr>
      <w:r>
        <w:rPr>
          <w:sz w:val="22"/>
        </w:rPr>
        <w:t>All forecasters are certified to issue spot forecasts and will remain annually proficient. Mary Wister will provide the majority of Fire Weather Planning forecasts through fire season, with remaining shifts filled by the following certified fire weather forecasters.</w:t>
      </w:r>
    </w:p>
    <w:p>
      <w:pPr>
        <w:pStyle w:val="BodyText"/>
        <w:rPr>
          <w:sz w:val="22"/>
        </w:rPr>
      </w:pPr>
    </w:p>
    <w:p>
      <w:pPr>
        <w:tabs>
          <w:tab w:pos="3240" w:val="left" w:leader="none"/>
        </w:tabs>
        <w:spacing w:line="253" w:lineRule="exact" w:before="1"/>
        <w:ind w:left="1080" w:right="0" w:firstLine="0"/>
        <w:jc w:val="left"/>
        <w:rPr>
          <w:sz w:val="22"/>
        </w:rPr>
      </w:pPr>
      <w:r>
        <w:rPr>
          <w:sz w:val="22"/>
          <w:u w:val="single"/>
        </w:rPr>
        <w:t>Name</w:t>
      </w:r>
      <w:r>
        <w:rPr>
          <w:sz w:val="22"/>
        </w:rPr>
        <w:tab/>
      </w:r>
      <w:r>
        <w:rPr>
          <w:sz w:val="22"/>
          <w:u w:val="single"/>
        </w:rPr>
        <w:t>Position</w:t>
      </w:r>
    </w:p>
    <w:p>
      <w:pPr>
        <w:tabs>
          <w:tab w:pos="3240" w:val="left" w:leader="none"/>
        </w:tabs>
        <w:spacing w:before="0"/>
        <w:ind w:left="1081" w:right="4979" w:hanging="1"/>
        <w:jc w:val="left"/>
        <w:rPr>
          <w:sz w:val="22"/>
        </w:rPr>
      </w:pPr>
      <w:r>
        <w:rPr>
          <w:sz w:val="22"/>
        </w:rPr>
        <w:t>Zaaron</w:t>
      </w:r>
      <w:r>
        <w:rPr>
          <w:spacing w:val="-2"/>
          <w:sz w:val="22"/>
        </w:rPr>
        <w:t> </w:t>
      </w:r>
      <w:r>
        <w:rPr>
          <w:sz w:val="22"/>
        </w:rPr>
        <w:t>Allen</w:t>
        <w:tab/>
        <w:t>Science and Operations Officer Gordon</w:t>
      </w:r>
      <w:r>
        <w:rPr>
          <w:spacing w:val="-3"/>
          <w:sz w:val="22"/>
        </w:rPr>
        <w:t> </w:t>
      </w:r>
      <w:r>
        <w:rPr>
          <w:sz w:val="22"/>
        </w:rPr>
        <w:t>Hepburn</w:t>
        <w:tab/>
        <w:t>Senior</w:t>
      </w:r>
      <w:r>
        <w:rPr>
          <w:spacing w:val="0"/>
          <w:sz w:val="22"/>
        </w:rPr>
        <w:t> </w:t>
      </w:r>
      <w:r>
        <w:rPr>
          <w:sz w:val="22"/>
        </w:rPr>
        <w:t>Forecaster</w:t>
      </w:r>
    </w:p>
    <w:p>
      <w:pPr>
        <w:tabs>
          <w:tab w:pos="3240" w:val="left" w:leader="none"/>
        </w:tabs>
        <w:spacing w:before="0"/>
        <w:ind w:left="1080" w:right="5712" w:firstLine="0"/>
        <w:jc w:val="left"/>
        <w:rPr>
          <w:sz w:val="22"/>
        </w:rPr>
      </w:pPr>
      <w:r>
        <w:rPr>
          <w:sz w:val="22"/>
        </w:rPr>
        <w:t>Robert Cramp</w:t>
        <w:tab/>
        <w:t>Senior Forecaster Diann</w:t>
      </w:r>
      <w:r>
        <w:rPr>
          <w:spacing w:val="-3"/>
          <w:sz w:val="22"/>
        </w:rPr>
        <w:t> </w:t>
      </w:r>
      <w:r>
        <w:rPr>
          <w:sz w:val="22"/>
        </w:rPr>
        <w:t>Coonfield</w:t>
        <w:tab/>
        <w:t>Journeyman Forecaster George</w:t>
      </w:r>
      <w:r>
        <w:rPr>
          <w:spacing w:val="-3"/>
          <w:sz w:val="22"/>
        </w:rPr>
        <w:t> </w:t>
      </w:r>
      <w:r>
        <w:rPr>
          <w:sz w:val="22"/>
        </w:rPr>
        <w:t>Perry</w:t>
        <w:tab/>
        <w:t>Journeyman</w:t>
      </w:r>
      <w:r>
        <w:rPr>
          <w:spacing w:val="-7"/>
          <w:sz w:val="22"/>
        </w:rPr>
        <w:t> </w:t>
      </w:r>
      <w:r>
        <w:rPr>
          <w:sz w:val="22"/>
        </w:rPr>
        <w:t>Forecaster</w:t>
      </w:r>
    </w:p>
    <w:p>
      <w:pPr>
        <w:tabs>
          <w:tab w:pos="3240" w:val="left" w:leader="none"/>
        </w:tabs>
        <w:spacing w:line="252" w:lineRule="exact" w:before="0"/>
        <w:ind w:left="1081" w:right="0" w:firstLine="0"/>
        <w:jc w:val="left"/>
        <w:rPr>
          <w:sz w:val="22"/>
        </w:rPr>
      </w:pPr>
      <w:r>
        <w:rPr>
          <w:sz w:val="22"/>
        </w:rPr>
        <w:t>John</w:t>
      </w:r>
      <w:r>
        <w:rPr>
          <w:spacing w:val="-2"/>
          <w:sz w:val="22"/>
        </w:rPr>
        <w:t> </w:t>
      </w:r>
      <w:r>
        <w:rPr>
          <w:sz w:val="22"/>
        </w:rPr>
        <w:t>Peck</w:t>
        <w:tab/>
        <w:t>Meteorologist Intern</w:t>
      </w:r>
      <w:r>
        <w:rPr>
          <w:spacing w:val="-4"/>
          <w:sz w:val="22"/>
        </w:rPr>
        <w:t> </w:t>
      </w:r>
      <w:r>
        <w:rPr>
          <w:sz w:val="22"/>
        </w:rPr>
        <w:t>(training)</w:t>
      </w:r>
    </w:p>
    <w:p>
      <w:pPr>
        <w:pStyle w:val="BodyText"/>
        <w:spacing w:before="11"/>
        <w:rPr>
          <w:sz w:val="21"/>
        </w:rPr>
      </w:pPr>
    </w:p>
    <w:p>
      <w:pPr>
        <w:pStyle w:val="Heading6"/>
        <w:ind w:left="1080"/>
        <w:rPr>
          <w:sz w:val="22"/>
        </w:rPr>
      </w:pPr>
      <w:r>
        <w:rPr>
          <w:u w:val="thick"/>
        </w:rPr>
        <w:t>WEATHER BRIEFINGS</w:t>
      </w:r>
      <w:r>
        <w:rPr>
          <w:sz w:val="22"/>
        </w:rPr>
        <w:t>:</w:t>
      </w:r>
    </w:p>
    <w:p>
      <w:pPr>
        <w:spacing w:before="0"/>
        <w:ind w:left="1080" w:right="1448" w:firstLine="0"/>
        <w:jc w:val="left"/>
        <w:rPr>
          <w:sz w:val="22"/>
        </w:rPr>
      </w:pPr>
      <w:r>
        <w:rPr>
          <w:sz w:val="22"/>
        </w:rPr>
        <w:t>Internet based weather briefings will be held at 0930 PDT beginning May 7th. The briefing page is located at: </w:t>
      </w:r>
      <w:hyperlink r:id="rId73">
        <w:r>
          <w:rPr>
            <w:color w:val="0000FF"/>
            <w:sz w:val="22"/>
            <w:u w:val="single" w:color="0000FF"/>
          </w:rPr>
          <w:t>http://www.wrh.noaa.gov/pdt/forecast/fwxBriefing.php</w:t>
        </w:r>
        <w:r>
          <w:rPr>
            <w:color w:val="0000FF"/>
            <w:sz w:val="22"/>
          </w:rPr>
          <w:t> </w:t>
        </w:r>
      </w:hyperlink>
      <w:r>
        <w:rPr>
          <w:sz w:val="22"/>
        </w:rPr>
        <w:t>and also live through GoToWebinar.</w:t>
      </w:r>
    </w:p>
    <w:p>
      <w:pPr>
        <w:tabs>
          <w:tab w:pos="6120" w:val="left" w:leader="none"/>
        </w:tabs>
        <w:spacing w:line="252" w:lineRule="exact" w:before="0"/>
        <w:ind w:left="1080" w:right="0" w:firstLine="0"/>
        <w:jc w:val="left"/>
        <w:rPr>
          <w:sz w:val="22"/>
        </w:rPr>
      </w:pPr>
      <w:r>
        <w:rPr>
          <w:sz w:val="22"/>
        </w:rPr>
        <w:t>To join the conference</w:t>
      </w:r>
      <w:r>
        <w:rPr>
          <w:spacing w:val="-15"/>
          <w:sz w:val="22"/>
        </w:rPr>
        <w:t> </w:t>
      </w:r>
      <w:r>
        <w:rPr>
          <w:sz w:val="22"/>
        </w:rPr>
        <w:t>call: 1-877-996-7187</w:t>
        <w:tab/>
        <w:t>passcode:</w:t>
      </w:r>
      <w:r>
        <w:rPr>
          <w:spacing w:val="-1"/>
          <w:sz w:val="22"/>
        </w:rPr>
        <w:t> </w:t>
      </w:r>
      <w:r>
        <w:rPr>
          <w:sz w:val="22"/>
        </w:rPr>
        <w:t>564222#</w:t>
      </w:r>
    </w:p>
    <w:p>
      <w:pPr>
        <w:spacing w:before="2"/>
        <w:ind w:left="1080" w:right="1376" w:firstLine="0"/>
        <w:jc w:val="left"/>
        <w:rPr>
          <w:sz w:val="22"/>
        </w:rPr>
      </w:pPr>
      <w:r>
        <w:rPr>
          <w:sz w:val="22"/>
        </w:rPr>
        <w:t>During spring and fall burning seasons, briefings will be held Monday, Wednesday, and Friday. During peak fire season, normally mid-June-September, briefings will be held daily. Please call (541) 276-8134 for information on how to join the GoToWebinar.</w:t>
      </w:r>
    </w:p>
    <w:p>
      <w:pPr>
        <w:spacing w:line="252" w:lineRule="exact" w:before="0"/>
        <w:ind w:left="1080" w:right="0" w:firstLine="0"/>
        <w:jc w:val="left"/>
        <w:rPr>
          <w:sz w:val="22"/>
        </w:rPr>
      </w:pPr>
      <w:r>
        <w:rPr>
          <w:sz w:val="22"/>
        </w:rPr>
        <w:t>Phone briefings are available 24 hours per day, year round, by calling the fire weather desk.</w:t>
      </w:r>
    </w:p>
    <w:p>
      <w:pPr>
        <w:pStyle w:val="BodyText"/>
      </w:pPr>
    </w:p>
    <w:p>
      <w:pPr>
        <w:pStyle w:val="BodyText"/>
      </w:pPr>
    </w:p>
    <w:p>
      <w:pPr>
        <w:pStyle w:val="Heading6"/>
        <w:spacing w:before="204"/>
        <w:ind w:left="1080"/>
        <w:rPr>
          <w:sz w:val="22"/>
        </w:rPr>
      </w:pPr>
      <w:r>
        <w:rPr>
          <w:u w:val="thick"/>
        </w:rPr>
        <w:t>FORECAST SERVICES</w:t>
      </w:r>
      <w:r>
        <w:rPr>
          <w:sz w:val="22"/>
        </w:rPr>
        <w:t>:</w:t>
      </w:r>
    </w:p>
    <w:p>
      <w:pPr>
        <w:spacing w:before="1"/>
        <w:ind w:left="1080" w:right="0" w:firstLine="0"/>
        <w:jc w:val="left"/>
        <w:rPr>
          <w:b/>
          <w:sz w:val="22"/>
        </w:rPr>
      </w:pPr>
      <w:r>
        <w:rPr>
          <w:b/>
          <w:sz w:val="22"/>
        </w:rPr>
        <w:t>Forecast Grids/Graphics:</w:t>
      </w:r>
    </w:p>
    <w:p>
      <w:pPr>
        <w:spacing w:before="2"/>
        <w:ind w:left="1080" w:right="0" w:firstLine="0"/>
        <w:jc w:val="left"/>
        <w:rPr>
          <w:sz w:val="22"/>
        </w:rPr>
      </w:pPr>
      <w:r>
        <w:rPr>
          <w:sz w:val="22"/>
        </w:rPr>
        <w:t>In addition to the core fire weather elements and forecast grids, this office produces a</w:t>
      </w:r>
    </w:p>
    <w:p>
      <w:pPr>
        <w:spacing w:after="0"/>
        <w:jc w:val="left"/>
        <w:rPr>
          <w:sz w:val="22"/>
        </w:rPr>
        <w:sectPr>
          <w:pgSz w:w="12240" w:h="15840"/>
          <w:pgMar w:header="0" w:footer="968" w:top="1500" w:bottom="1240" w:left="340" w:right="620"/>
        </w:sectPr>
      </w:pPr>
    </w:p>
    <w:p>
      <w:pPr>
        <w:spacing w:line="252" w:lineRule="exact" w:before="77"/>
        <w:ind w:left="1080" w:right="0" w:firstLine="0"/>
        <w:jc w:val="left"/>
        <w:rPr>
          <w:sz w:val="22"/>
        </w:rPr>
      </w:pPr>
      <w:r>
        <w:rPr>
          <w:sz w:val="22"/>
        </w:rPr>
        <w:t>Ventilation Index grid and graphic. These graphics are found</w:t>
      </w:r>
    </w:p>
    <w:p>
      <w:pPr>
        <w:spacing w:before="0"/>
        <w:ind w:left="1080" w:right="1197" w:firstLine="0"/>
        <w:jc w:val="left"/>
        <w:rPr>
          <w:sz w:val="22"/>
        </w:rPr>
      </w:pPr>
      <w:r>
        <w:rPr>
          <w:sz w:val="22"/>
        </w:rPr>
        <w:t>at: </w:t>
      </w:r>
      <w:hyperlink r:id="rId74">
        <w:r>
          <w:rPr>
            <w:color w:val="0000FF"/>
            <w:sz w:val="22"/>
            <w:u w:val="single" w:color="0000FF"/>
          </w:rPr>
          <w:t>http://www.wrh.noaa.gov/pdt/forecast/fwxGraphicalVentilation.php?wfo=pdt</w:t>
        </w:r>
        <w:r>
          <w:rPr>
            <w:color w:val="0000FF"/>
            <w:sz w:val="22"/>
          </w:rPr>
          <w:t> </w:t>
        </w:r>
      </w:hyperlink>
      <w:r>
        <w:rPr>
          <w:sz w:val="22"/>
        </w:rPr>
        <w:t>. Additionally, several Fire Weather Threat Index grids and graphics attempt to graphically illustrate the potential for Red Flag criteria being met under the Wind/RH and Haines/RH categories.</w:t>
      </w:r>
    </w:p>
    <w:p>
      <w:pPr>
        <w:spacing w:before="2"/>
        <w:ind w:left="1080" w:right="0" w:firstLine="0"/>
        <w:jc w:val="left"/>
        <w:rPr>
          <w:sz w:val="22"/>
        </w:rPr>
      </w:pPr>
      <w:r>
        <w:rPr>
          <w:sz w:val="22"/>
        </w:rPr>
        <w:t>These graphics are found on the briefing web page listed above.</w:t>
      </w:r>
    </w:p>
    <w:p>
      <w:pPr>
        <w:pStyle w:val="BodyText"/>
        <w:spacing w:before="7"/>
        <w:rPr>
          <w:sz w:val="21"/>
        </w:rPr>
      </w:pPr>
    </w:p>
    <w:p>
      <w:pPr>
        <w:spacing w:before="0"/>
        <w:ind w:left="1080" w:right="0" w:firstLine="0"/>
        <w:jc w:val="left"/>
        <w:rPr>
          <w:b/>
          <w:sz w:val="22"/>
        </w:rPr>
      </w:pPr>
      <w:r>
        <w:rPr>
          <w:b/>
          <w:sz w:val="22"/>
        </w:rPr>
        <w:t>Fire Weather Planning Forecasts:</w:t>
      </w:r>
    </w:p>
    <w:p>
      <w:pPr>
        <w:spacing w:before="4"/>
        <w:ind w:left="1080" w:right="1081" w:firstLine="0"/>
        <w:jc w:val="left"/>
        <w:rPr>
          <w:sz w:val="22"/>
        </w:rPr>
      </w:pPr>
      <w:r>
        <w:rPr>
          <w:sz w:val="22"/>
        </w:rPr>
        <w:t>Fire Weather Planning Forecasts are routinely issued when the Fire Weather desk is staffed. They are available twice a day Monday through Friday no later than 0830 PDT and 1500 PDT during the spring/fall burning seasons, and 7 days a week during peak fire season.</w:t>
      </w:r>
    </w:p>
    <w:p>
      <w:pPr>
        <w:pStyle w:val="BodyText"/>
        <w:spacing w:before="9"/>
        <w:rPr>
          <w:sz w:val="21"/>
        </w:rPr>
      </w:pPr>
    </w:p>
    <w:p>
      <w:pPr>
        <w:spacing w:before="0"/>
        <w:ind w:left="1080" w:right="1118" w:firstLine="0"/>
        <w:jc w:val="left"/>
        <w:rPr>
          <w:sz w:val="22"/>
        </w:rPr>
      </w:pPr>
      <w:r>
        <w:rPr>
          <w:sz w:val="22"/>
        </w:rPr>
        <w:t>The Pendleton Fire Weather forecast area of responsibility is sectioned by Fire Weather Zones. OR639/WA639, OR641/WA641, OR643/WA643, and OR645/WA645 will typically be combined into single zone forecasts unless conditions warrant separating them. This usually results in 11 separate zone forecasts. These zones are based on terrain, elevation, weather characteristics, and political boundaries. Please see the district map on the following page for specific outlines of the Fire Weather Zones.</w:t>
      </w:r>
    </w:p>
    <w:p>
      <w:pPr>
        <w:pStyle w:val="BodyText"/>
        <w:rPr>
          <w:sz w:val="22"/>
        </w:rPr>
      </w:pPr>
    </w:p>
    <w:p>
      <w:pPr>
        <w:spacing w:before="0"/>
        <w:ind w:left="1080" w:right="0" w:firstLine="0"/>
        <w:jc w:val="left"/>
        <w:rPr>
          <w:sz w:val="22"/>
        </w:rPr>
      </w:pPr>
      <w:r>
        <w:rPr>
          <w:sz w:val="22"/>
        </w:rPr>
        <w:t>The zone names are as follows:</w:t>
      </w:r>
    </w:p>
    <w:p>
      <w:pPr>
        <w:pStyle w:val="BodyText"/>
        <w:rPr>
          <w:sz w:val="22"/>
        </w:rPr>
      </w:pPr>
    </w:p>
    <w:p>
      <w:pPr>
        <w:spacing w:before="1"/>
        <w:ind w:left="1800" w:right="3565" w:firstLine="0"/>
        <w:jc w:val="left"/>
        <w:rPr>
          <w:sz w:val="22"/>
        </w:rPr>
      </w:pPr>
      <w:r>
        <w:rPr>
          <w:sz w:val="22"/>
        </w:rPr>
        <w:t>OR639 – East slopes of the northern Oregon Cascades WA639 – East slopes of the southern Washington Cascades OR610 – East slopes of the central Oregon Cascades OR611 – Deschutes National Forest</w:t>
      </w:r>
    </w:p>
    <w:p>
      <w:pPr>
        <w:spacing w:before="0"/>
        <w:ind w:left="1801" w:right="5645" w:hanging="1"/>
        <w:jc w:val="left"/>
        <w:rPr>
          <w:sz w:val="22"/>
        </w:rPr>
      </w:pPr>
      <w:r>
        <w:rPr>
          <w:sz w:val="22"/>
        </w:rPr>
        <w:t>OR640 – Central Oregon Mountains OR641 – Columbia Basin of Oregon</w:t>
      </w:r>
    </w:p>
    <w:p>
      <w:pPr>
        <w:spacing w:before="1"/>
        <w:ind w:left="1801" w:right="4430" w:firstLine="0"/>
        <w:jc w:val="left"/>
        <w:rPr>
          <w:sz w:val="22"/>
        </w:rPr>
      </w:pPr>
      <w:r>
        <w:rPr>
          <w:sz w:val="22"/>
        </w:rPr>
        <w:t>WA641 – Lower Columbia Basin of Washington OR642 – Southern Blue and Strawberry Mountains OR643 – Northern Blue Mountains of Oregon WA643 – Blue Mountains of Washington</w:t>
      </w:r>
    </w:p>
    <w:p>
      <w:pPr>
        <w:spacing w:before="0"/>
        <w:ind w:left="1801" w:right="6247" w:hanging="1"/>
        <w:jc w:val="left"/>
        <w:rPr>
          <w:sz w:val="22"/>
        </w:rPr>
      </w:pPr>
      <w:r>
        <w:rPr>
          <w:sz w:val="22"/>
        </w:rPr>
        <w:t>OR644 – Central Blue Mountains OR645 – Wallowa District WA645 – Asotin</w:t>
      </w:r>
      <w:r>
        <w:rPr>
          <w:spacing w:val="-3"/>
          <w:sz w:val="22"/>
        </w:rPr>
        <w:t> </w:t>
      </w:r>
      <w:r>
        <w:rPr>
          <w:sz w:val="22"/>
        </w:rPr>
        <w:t>County</w:t>
      </w:r>
    </w:p>
    <w:p>
      <w:pPr>
        <w:spacing w:before="0"/>
        <w:ind w:left="1801" w:right="3992" w:firstLine="0"/>
        <w:jc w:val="left"/>
        <w:rPr>
          <w:sz w:val="22"/>
        </w:rPr>
      </w:pPr>
      <w:r>
        <w:rPr>
          <w:sz w:val="22"/>
        </w:rPr>
        <w:t>WA675 – Eastern Washington southern Columbia Basin WA681 – Yakama Alpine District</w:t>
      </w:r>
    </w:p>
    <w:p>
      <w:pPr>
        <w:spacing w:after="0"/>
        <w:jc w:val="left"/>
        <w:rPr>
          <w:sz w:val="22"/>
        </w:rPr>
        <w:sectPr>
          <w:pgSz w:w="12240" w:h="15840"/>
          <w:pgMar w:header="0" w:footer="968" w:top="1420" w:bottom="1240" w:left="340" w:right="620"/>
        </w:sectPr>
      </w:pPr>
    </w:p>
    <w:p>
      <w:pPr>
        <w:pStyle w:val="BodyText"/>
        <w:ind w:left="320"/>
        <w:rPr>
          <w:sz w:val="20"/>
        </w:rPr>
      </w:pPr>
      <w:r>
        <w:rPr>
          <w:sz w:val="20"/>
        </w:rPr>
        <w:drawing>
          <wp:inline distT="0" distB="0" distL="0" distR="0">
            <wp:extent cx="6640038" cy="5673852"/>
            <wp:effectExtent l="0" t="0" r="0" b="0"/>
            <wp:docPr id="23" name="image14.png" descr=""/>
            <wp:cNvGraphicFramePr>
              <a:graphicFrameLocks noChangeAspect="1"/>
            </wp:cNvGraphicFramePr>
            <a:graphic>
              <a:graphicData uri="http://schemas.openxmlformats.org/drawingml/2006/picture">
                <pic:pic>
                  <pic:nvPicPr>
                    <pic:cNvPr id="24" name="image14.png"/>
                    <pic:cNvPicPr/>
                  </pic:nvPicPr>
                  <pic:blipFill>
                    <a:blip r:embed="rId76" cstate="print"/>
                    <a:stretch>
                      <a:fillRect/>
                    </a:stretch>
                  </pic:blipFill>
                  <pic:spPr>
                    <a:xfrm>
                      <a:off x="0" y="0"/>
                      <a:ext cx="6640038" cy="5673852"/>
                    </a:xfrm>
                    <a:prstGeom prst="rect">
                      <a:avLst/>
                    </a:prstGeom>
                  </pic:spPr>
                </pic:pic>
              </a:graphicData>
            </a:graphic>
          </wp:inline>
        </w:drawing>
      </w:r>
      <w:r>
        <w:rPr>
          <w:sz w:val="20"/>
        </w:rPr>
      </w:r>
    </w:p>
    <w:p>
      <w:pPr>
        <w:spacing w:after="0"/>
        <w:rPr>
          <w:sz w:val="20"/>
        </w:rPr>
        <w:sectPr>
          <w:footerReference w:type="default" r:id="rId75"/>
          <w:pgSz w:w="12240" w:h="15840"/>
          <w:pgMar w:footer="968" w:header="0" w:top="1500" w:bottom="1160" w:left="340" w:right="620"/>
          <w:pgNumType w:start="36"/>
        </w:sectPr>
      </w:pPr>
    </w:p>
    <w:p>
      <w:pPr>
        <w:pStyle w:val="Heading8"/>
        <w:spacing w:before="75"/>
      </w:pPr>
      <w:r>
        <w:rPr/>
        <w:t>Fire Weather Watch and Red Flag Warnings:</w:t>
      </w:r>
    </w:p>
    <w:p>
      <w:pPr>
        <w:pStyle w:val="BodyText"/>
        <w:spacing w:before="77"/>
        <w:ind w:left="1100" w:right="1022"/>
      </w:pPr>
      <w:r>
        <w:rPr/>
        <w:t>Specific Red Flag criteria differ for each situation and district. The following are criteria that would warrant the issuance of a Fire Weather Watch or Red Flag Warning in the Pendleton Fire Weather area of responsibility:</w:t>
      </w:r>
    </w:p>
    <w:p>
      <w:pPr>
        <w:pStyle w:val="BodyText"/>
        <w:spacing w:before="7"/>
        <w:rPr>
          <w:sz w:val="23"/>
        </w:rPr>
      </w:pPr>
    </w:p>
    <w:p>
      <w:pPr>
        <w:spacing w:before="0"/>
        <w:ind w:left="1100" w:right="0" w:firstLine="0"/>
        <w:jc w:val="left"/>
        <w:rPr>
          <w:b/>
          <w:sz w:val="24"/>
        </w:rPr>
      </w:pPr>
      <w:r>
        <w:rPr>
          <w:i/>
          <w:sz w:val="24"/>
        </w:rPr>
        <w:t>Underlying conditions</w:t>
      </w:r>
      <w:r>
        <w:rPr>
          <w:b/>
          <w:sz w:val="24"/>
        </w:rPr>
        <w:t>:</w:t>
      </w:r>
    </w:p>
    <w:p>
      <w:pPr>
        <w:pStyle w:val="BodyText"/>
        <w:spacing w:before="5"/>
        <w:ind w:left="1100" w:right="862"/>
      </w:pPr>
      <w:r>
        <w:rPr/>
        <w:t>Fire Weather Watches or Red Flag Warnings are issued when the fuels will readily burn and weather conditions will promote extreme burning. The three steps below are forecaster guidelines for determining the need for a watch/warning.</w:t>
      </w:r>
    </w:p>
    <w:p>
      <w:pPr>
        <w:pStyle w:val="ListParagraph"/>
        <w:numPr>
          <w:ilvl w:val="0"/>
          <w:numId w:val="10"/>
        </w:numPr>
        <w:tabs>
          <w:tab w:pos="1820" w:val="left" w:leader="none"/>
        </w:tabs>
        <w:spacing w:line="240" w:lineRule="auto" w:before="0" w:after="0"/>
        <w:ind w:left="1820" w:right="1271" w:hanging="360"/>
        <w:jc w:val="left"/>
        <w:rPr>
          <w:sz w:val="24"/>
        </w:rPr>
      </w:pPr>
      <w:r>
        <w:rPr>
          <w:sz w:val="24"/>
        </w:rPr>
        <w:t>Refer</w:t>
      </w:r>
      <w:r>
        <w:rPr>
          <w:spacing w:val="-5"/>
          <w:sz w:val="24"/>
        </w:rPr>
        <w:t> </w:t>
      </w:r>
      <w:r>
        <w:rPr>
          <w:sz w:val="24"/>
        </w:rPr>
        <w:t>to</w:t>
      </w:r>
      <w:r>
        <w:rPr>
          <w:spacing w:val="-5"/>
          <w:sz w:val="24"/>
        </w:rPr>
        <w:t> </w:t>
      </w:r>
      <w:r>
        <w:rPr>
          <w:sz w:val="24"/>
        </w:rPr>
        <w:t>GACC</w:t>
      </w:r>
      <w:r>
        <w:rPr>
          <w:spacing w:val="-4"/>
          <w:sz w:val="24"/>
        </w:rPr>
        <w:t> </w:t>
      </w:r>
      <w:r>
        <w:rPr>
          <w:sz w:val="24"/>
        </w:rPr>
        <w:t>“Overall</w:t>
      </w:r>
      <w:r>
        <w:rPr>
          <w:spacing w:val="-4"/>
          <w:sz w:val="24"/>
        </w:rPr>
        <w:t> </w:t>
      </w:r>
      <w:r>
        <w:rPr>
          <w:sz w:val="24"/>
        </w:rPr>
        <w:t>Fire</w:t>
      </w:r>
      <w:r>
        <w:rPr>
          <w:spacing w:val="-3"/>
          <w:sz w:val="24"/>
        </w:rPr>
        <w:t> </w:t>
      </w:r>
      <w:r>
        <w:rPr>
          <w:sz w:val="24"/>
        </w:rPr>
        <w:t>Environment”</w:t>
      </w:r>
      <w:r>
        <w:rPr>
          <w:spacing w:val="-6"/>
          <w:sz w:val="24"/>
        </w:rPr>
        <w:t> </w:t>
      </w:r>
      <w:r>
        <w:rPr>
          <w:sz w:val="24"/>
        </w:rPr>
        <w:t>for</w:t>
      </w:r>
      <w:r>
        <w:rPr>
          <w:spacing w:val="-6"/>
          <w:sz w:val="24"/>
        </w:rPr>
        <w:t> </w:t>
      </w:r>
      <w:r>
        <w:rPr>
          <w:sz w:val="24"/>
        </w:rPr>
        <w:t>probability</w:t>
      </w:r>
      <w:r>
        <w:rPr>
          <w:spacing w:val="-5"/>
          <w:sz w:val="24"/>
        </w:rPr>
        <w:t> </w:t>
      </w:r>
      <w:r>
        <w:rPr>
          <w:sz w:val="24"/>
        </w:rPr>
        <w:t>of</w:t>
      </w:r>
      <w:r>
        <w:rPr>
          <w:spacing w:val="-1"/>
          <w:sz w:val="24"/>
        </w:rPr>
        <w:t> </w:t>
      </w:r>
      <w:r>
        <w:rPr>
          <w:sz w:val="24"/>
        </w:rPr>
        <w:t>large</w:t>
      </w:r>
      <w:r>
        <w:rPr>
          <w:spacing w:val="-3"/>
          <w:sz w:val="24"/>
        </w:rPr>
        <w:t> </w:t>
      </w:r>
      <w:r>
        <w:rPr>
          <w:sz w:val="24"/>
        </w:rPr>
        <w:t>fires.</w:t>
      </w:r>
      <w:r>
        <w:rPr>
          <w:spacing w:val="-33"/>
          <w:sz w:val="24"/>
        </w:rPr>
        <w:t> </w:t>
      </w:r>
      <w:r>
        <w:rPr>
          <w:sz w:val="24"/>
        </w:rPr>
        <w:t>Levels should not be Green (less than 1%</w:t>
      </w:r>
      <w:r>
        <w:rPr>
          <w:spacing w:val="-18"/>
          <w:sz w:val="24"/>
        </w:rPr>
        <w:t> </w:t>
      </w:r>
      <w:r>
        <w:rPr>
          <w:sz w:val="24"/>
        </w:rPr>
        <w:t>chance).</w:t>
      </w:r>
    </w:p>
    <w:p>
      <w:pPr>
        <w:pStyle w:val="ListParagraph"/>
        <w:numPr>
          <w:ilvl w:val="0"/>
          <w:numId w:val="10"/>
        </w:numPr>
        <w:tabs>
          <w:tab w:pos="1820" w:val="left" w:leader="none"/>
        </w:tabs>
        <w:spacing w:line="240" w:lineRule="auto" w:before="0" w:after="0"/>
        <w:ind w:left="1820" w:right="983" w:hanging="360"/>
        <w:jc w:val="left"/>
        <w:rPr>
          <w:sz w:val="24"/>
        </w:rPr>
      </w:pPr>
      <w:r>
        <w:rPr>
          <w:sz w:val="24"/>
        </w:rPr>
        <w:t>The forecaster </w:t>
      </w:r>
      <w:r>
        <w:rPr>
          <w:sz w:val="24"/>
          <w:u w:val="single"/>
        </w:rPr>
        <w:t>is required</w:t>
      </w:r>
      <w:r>
        <w:rPr>
          <w:sz w:val="24"/>
        </w:rPr>
        <w:t> to check with fire/land management agencies to ensure</w:t>
      </w:r>
      <w:r>
        <w:rPr>
          <w:spacing w:val="-4"/>
          <w:sz w:val="24"/>
        </w:rPr>
        <w:t> </w:t>
      </w:r>
      <w:r>
        <w:rPr>
          <w:sz w:val="24"/>
        </w:rPr>
        <w:t>fuels</w:t>
      </w:r>
      <w:r>
        <w:rPr>
          <w:spacing w:val="-5"/>
          <w:sz w:val="24"/>
        </w:rPr>
        <w:t> </w:t>
      </w:r>
      <w:r>
        <w:rPr>
          <w:sz w:val="24"/>
        </w:rPr>
        <w:t>are</w:t>
      </w:r>
      <w:r>
        <w:rPr>
          <w:spacing w:val="-2"/>
          <w:sz w:val="24"/>
        </w:rPr>
        <w:t> </w:t>
      </w:r>
      <w:r>
        <w:rPr>
          <w:sz w:val="24"/>
        </w:rPr>
        <w:t>considered</w:t>
      </w:r>
      <w:r>
        <w:rPr>
          <w:spacing w:val="-2"/>
          <w:sz w:val="24"/>
        </w:rPr>
        <w:t> </w:t>
      </w:r>
      <w:r>
        <w:rPr>
          <w:sz w:val="24"/>
        </w:rPr>
        <w:t>critically</w:t>
      </w:r>
      <w:r>
        <w:rPr>
          <w:spacing w:val="-5"/>
          <w:sz w:val="24"/>
        </w:rPr>
        <w:t> </w:t>
      </w:r>
      <w:r>
        <w:rPr>
          <w:sz w:val="24"/>
        </w:rPr>
        <w:t>dry</w:t>
      </w:r>
      <w:r>
        <w:rPr>
          <w:spacing w:val="-5"/>
          <w:sz w:val="24"/>
        </w:rPr>
        <w:t> </w:t>
      </w:r>
      <w:r>
        <w:rPr>
          <w:sz w:val="24"/>
        </w:rPr>
        <w:t>enough</w:t>
      </w:r>
      <w:r>
        <w:rPr>
          <w:spacing w:val="-2"/>
          <w:sz w:val="24"/>
        </w:rPr>
        <w:t> </w:t>
      </w:r>
      <w:r>
        <w:rPr>
          <w:sz w:val="24"/>
        </w:rPr>
        <w:t>to</w:t>
      </w:r>
      <w:r>
        <w:rPr>
          <w:spacing w:val="-2"/>
          <w:sz w:val="24"/>
        </w:rPr>
        <w:t> </w:t>
      </w:r>
      <w:r>
        <w:rPr>
          <w:sz w:val="24"/>
        </w:rPr>
        <w:t>carry</w:t>
      </w:r>
      <w:r>
        <w:rPr>
          <w:spacing w:val="-5"/>
          <w:sz w:val="24"/>
        </w:rPr>
        <w:t> </w:t>
      </w:r>
      <w:r>
        <w:rPr>
          <w:sz w:val="24"/>
        </w:rPr>
        <w:t>or</w:t>
      </w:r>
      <w:r>
        <w:rPr>
          <w:spacing w:val="-4"/>
          <w:sz w:val="24"/>
        </w:rPr>
        <w:t> </w:t>
      </w:r>
      <w:r>
        <w:rPr>
          <w:sz w:val="24"/>
        </w:rPr>
        <w:t>spread</w:t>
      </w:r>
      <w:r>
        <w:rPr>
          <w:spacing w:val="-4"/>
          <w:sz w:val="24"/>
        </w:rPr>
        <w:t> </w:t>
      </w:r>
      <w:r>
        <w:rPr>
          <w:sz w:val="24"/>
        </w:rPr>
        <w:t>fire.</w:t>
      </w:r>
      <w:r>
        <w:rPr>
          <w:spacing w:val="-33"/>
          <w:sz w:val="24"/>
        </w:rPr>
        <w:t> </w:t>
      </w:r>
      <w:r>
        <w:rPr>
          <w:sz w:val="24"/>
        </w:rPr>
        <w:t>Usually, the fire weather program manager will have already done this and declare when a zone is eligible for RFWs for the remainder of the season. However, if a forecaster strongly feels that a </w:t>
      </w:r>
      <w:r>
        <w:rPr>
          <w:spacing w:val="-5"/>
          <w:sz w:val="24"/>
        </w:rPr>
        <w:t>RFW </w:t>
      </w:r>
      <w:r>
        <w:rPr>
          <w:sz w:val="24"/>
        </w:rPr>
        <w:t>is needed but a zone has not yet been declared eligible, the forecaster can check with the fire/land management agencies themselves via the morning briefing call or with individual</w:t>
      </w:r>
      <w:r>
        <w:rPr>
          <w:spacing w:val="-42"/>
          <w:sz w:val="24"/>
        </w:rPr>
        <w:t> </w:t>
      </w:r>
      <w:r>
        <w:rPr>
          <w:sz w:val="24"/>
        </w:rPr>
        <w:t>phone.</w:t>
      </w:r>
    </w:p>
    <w:p>
      <w:pPr>
        <w:pStyle w:val="ListParagraph"/>
        <w:numPr>
          <w:ilvl w:val="0"/>
          <w:numId w:val="10"/>
        </w:numPr>
        <w:tabs>
          <w:tab w:pos="1820" w:val="left" w:leader="none"/>
        </w:tabs>
        <w:spacing w:line="240" w:lineRule="auto" w:before="0" w:after="0"/>
        <w:ind w:left="1820" w:right="1542" w:hanging="360"/>
        <w:jc w:val="left"/>
        <w:rPr>
          <w:sz w:val="24"/>
        </w:rPr>
      </w:pPr>
      <w:r>
        <w:rPr>
          <w:sz w:val="24"/>
        </w:rPr>
        <w:t>Forecasters</w:t>
      </w:r>
      <w:r>
        <w:rPr>
          <w:spacing w:val="-4"/>
          <w:sz w:val="24"/>
        </w:rPr>
        <w:t> </w:t>
      </w:r>
      <w:r>
        <w:rPr>
          <w:sz w:val="24"/>
        </w:rPr>
        <w:t>should</w:t>
      </w:r>
      <w:r>
        <w:rPr>
          <w:spacing w:val="-3"/>
          <w:sz w:val="24"/>
        </w:rPr>
        <w:t> </w:t>
      </w:r>
      <w:r>
        <w:rPr>
          <w:sz w:val="24"/>
        </w:rPr>
        <w:t>have</w:t>
      </w:r>
      <w:r>
        <w:rPr>
          <w:spacing w:val="-3"/>
          <w:sz w:val="24"/>
        </w:rPr>
        <w:t> </w:t>
      </w:r>
      <w:r>
        <w:rPr>
          <w:sz w:val="24"/>
        </w:rPr>
        <w:t>a</w:t>
      </w:r>
      <w:r>
        <w:rPr>
          <w:spacing w:val="-3"/>
          <w:sz w:val="24"/>
        </w:rPr>
        <w:t> </w:t>
      </w:r>
      <w:r>
        <w:rPr>
          <w:sz w:val="24"/>
        </w:rPr>
        <w:t>high</w:t>
      </w:r>
      <w:r>
        <w:rPr>
          <w:spacing w:val="-3"/>
          <w:sz w:val="24"/>
        </w:rPr>
        <w:t> </w:t>
      </w:r>
      <w:r>
        <w:rPr>
          <w:sz w:val="24"/>
        </w:rPr>
        <w:t>degree</w:t>
      </w:r>
      <w:r>
        <w:rPr>
          <w:spacing w:val="-5"/>
          <w:sz w:val="24"/>
        </w:rPr>
        <w:t> </w:t>
      </w:r>
      <w:r>
        <w:rPr>
          <w:sz w:val="24"/>
        </w:rPr>
        <w:t>of</w:t>
      </w:r>
      <w:r>
        <w:rPr>
          <w:spacing w:val="-1"/>
          <w:sz w:val="24"/>
        </w:rPr>
        <w:t> </w:t>
      </w:r>
      <w:r>
        <w:rPr>
          <w:sz w:val="24"/>
        </w:rPr>
        <w:t>confidence</w:t>
      </w:r>
      <w:r>
        <w:rPr>
          <w:spacing w:val="-3"/>
          <w:sz w:val="24"/>
        </w:rPr>
        <w:t> </w:t>
      </w:r>
      <w:r>
        <w:rPr>
          <w:sz w:val="24"/>
        </w:rPr>
        <w:t>(60%</w:t>
      </w:r>
      <w:r>
        <w:rPr>
          <w:spacing w:val="-6"/>
          <w:sz w:val="24"/>
        </w:rPr>
        <w:t> </w:t>
      </w:r>
      <w:r>
        <w:rPr>
          <w:sz w:val="24"/>
        </w:rPr>
        <w:t>for</w:t>
      </w:r>
      <w:r>
        <w:rPr>
          <w:spacing w:val="-5"/>
          <w:sz w:val="24"/>
        </w:rPr>
        <w:t> </w:t>
      </w:r>
      <w:r>
        <w:rPr>
          <w:sz w:val="24"/>
        </w:rPr>
        <w:t>watch,</w:t>
      </w:r>
      <w:r>
        <w:rPr>
          <w:spacing w:val="-29"/>
          <w:sz w:val="24"/>
        </w:rPr>
        <w:t> </w:t>
      </w:r>
      <w:r>
        <w:rPr>
          <w:sz w:val="24"/>
        </w:rPr>
        <w:t>80% warning) that the Red Flag weather event will</w:t>
      </w:r>
      <w:r>
        <w:rPr>
          <w:spacing w:val="-24"/>
          <w:sz w:val="24"/>
        </w:rPr>
        <w:t> </w:t>
      </w:r>
      <w:r>
        <w:rPr>
          <w:sz w:val="24"/>
        </w:rPr>
        <w:t>occur.</w:t>
      </w:r>
    </w:p>
    <w:p>
      <w:pPr>
        <w:pStyle w:val="BodyText"/>
        <w:spacing w:before="4"/>
        <w:rPr>
          <w:sz w:val="23"/>
        </w:rPr>
      </w:pPr>
    </w:p>
    <w:p>
      <w:pPr>
        <w:spacing w:before="0"/>
        <w:ind w:left="1100" w:right="0" w:firstLine="0"/>
        <w:jc w:val="left"/>
        <w:rPr>
          <w:i/>
          <w:sz w:val="24"/>
        </w:rPr>
      </w:pPr>
      <w:r>
        <w:rPr>
          <w:i/>
          <w:sz w:val="24"/>
        </w:rPr>
        <w:t>Red Flag Warning Criteria:</w:t>
      </w:r>
    </w:p>
    <w:p>
      <w:pPr>
        <w:pStyle w:val="BodyText"/>
        <w:spacing w:before="5"/>
        <w:ind w:left="1100" w:right="1062"/>
      </w:pPr>
      <w:r>
        <w:rPr/>
        <w:t>Any single event, or a combination, of the following events combined with </w:t>
      </w:r>
      <w:r>
        <w:rPr>
          <w:u w:val="single"/>
        </w:rPr>
        <w:t>critically dry</w:t>
      </w:r>
      <w:r>
        <w:rPr/>
        <w:t> </w:t>
      </w:r>
      <w:r>
        <w:rPr>
          <w:u w:val="single"/>
        </w:rPr>
        <w:t>fuels </w:t>
      </w:r>
      <w:r>
        <w:rPr/>
        <w:t>is criteria for the issuance of a Fire Weather Watch or a Red Flag Warning depending on the lead time:</w:t>
      </w:r>
    </w:p>
    <w:p>
      <w:pPr>
        <w:pStyle w:val="BodyText"/>
        <w:spacing w:before="10"/>
        <w:rPr>
          <w:sz w:val="23"/>
        </w:rPr>
      </w:pPr>
    </w:p>
    <w:p>
      <w:pPr>
        <w:pStyle w:val="ListParagraph"/>
        <w:numPr>
          <w:ilvl w:val="1"/>
          <w:numId w:val="10"/>
        </w:numPr>
        <w:tabs>
          <w:tab w:pos="2179" w:val="left" w:leader="none"/>
          <w:tab w:pos="2180" w:val="left" w:leader="none"/>
        </w:tabs>
        <w:spacing w:line="240" w:lineRule="auto" w:before="0" w:after="0"/>
        <w:ind w:left="2180" w:right="1099" w:hanging="360"/>
        <w:jc w:val="left"/>
        <w:rPr>
          <w:sz w:val="24"/>
        </w:rPr>
      </w:pPr>
      <w:r>
        <w:rPr>
          <w:b/>
          <w:sz w:val="24"/>
        </w:rPr>
        <w:t>LIGHTNING: </w:t>
      </w:r>
      <w:r>
        <w:rPr>
          <w:sz w:val="24"/>
        </w:rPr>
        <w:t>Abundant lightning in conjunction with sufficiently dry fuels (fuels</w:t>
      </w:r>
      <w:r>
        <w:rPr>
          <w:spacing w:val="-3"/>
          <w:sz w:val="24"/>
        </w:rPr>
        <w:t> </w:t>
      </w:r>
      <w:r>
        <w:rPr>
          <w:sz w:val="24"/>
        </w:rPr>
        <w:t>remain</w:t>
      </w:r>
      <w:r>
        <w:rPr>
          <w:spacing w:val="-4"/>
          <w:sz w:val="24"/>
        </w:rPr>
        <w:t> </w:t>
      </w:r>
      <w:r>
        <w:rPr>
          <w:sz w:val="24"/>
        </w:rPr>
        <w:t>dry</w:t>
      </w:r>
      <w:r>
        <w:rPr>
          <w:spacing w:val="-5"/>
          <w:sz w:val="24"/>
        </w:rPr>
        <w:t> </w:t>
      </w:r>
      <w:r>
        <w:rPr>
          <w:sz w:val="24"/>
        </w:rPr>
        <w:t>or</w:t>
      </w:r>
      <w:r>
        <w:rPr>
          <w:spacing w:val="-4"/>
          <w:sz w:val="24"/>
        </w:rPr>
        <w:t> </w:t>
      </w:r>
      <w:r>
        <w:rPr>
          <w:sz w:val="24"/>
        </w:rPr>
        <w:t>critical</w:t>
      </w:r>
      <w:r>
        <w:rPr>
          <w:spacing w:val="-3"/>
          <w:sz w:val="24"/>
        </w:rPr>
        <w:t> </w:t>
      </w:r>
      <w:r>
        <w:rPr>
          <w:sz w:val="24"/>
        </w:rPr>
        <w:t>during</w:t>
      </w:r>
      <w:r>
        <w:rPr>
          <w:spacing w:val="-4"/>
          <w:sz w:val="24"/>
        </w:rPr>
        <w:t> </w:t>
      </w:r>
      <w:r>
        <w:rPr>
          <w:sz w:val="24"/>
        </w:rPr>
        <w:t>and</w:t>
      </w:r>
      <w:r>
        <w:rPr>
          <w:spacing w:val="-2"/>
          <w:sz w:val="24"/>
        </w:rPr>
        <w:t> </w:t>
      </w:r>
      <w:r>
        <w:rPr>
          <w:sz w:val="24"/>
        </w:rPr>
        <w:t>after</w:t>
      </w:r>
      <w:r>
        <w:rPr>
          <w:spacing w:val="-4"/>
          <w:sz w:val="24"/>
        </w:rPr>
        <w:t> </w:t>
      </w:r>
      <w:r>
        <w:rPr>
          <w:sz w:val="24"/>
        </w:rPr>
        <w:t>a</w:t>
      </w:r>
      <w:r>
        <w:rPr>
          <w:spacing w:val="-2"/>
          <w:sz w:val="24"/>
        </w:rPr>
        <w:t> </w:t>
      </w:r>
      <w:r>
        <w:rPr>
          <w:sz w:val="24"/>
        </w:rPr>
        <w:t>lightning</w:t>
      </w:r>
      <w:r>
        <w:rPr>
          <w:spacing w:val="-4"/>
          <w:sz w:val="24"/>
        </w:rPr>
        <w:t> </w:t>
      </w:r>
      <w:r>
        <w:rPr>
          <w:sz w:val="24"/>
        </w:rPr>
        <w:t>event).</w:t>
      </w:r>
      <w:r>
        <w:rPr>
          <w:spacing w:val="-7"/>
          <w:sz w:val="24"/>
        </w:rPr>
        <w:t> </w:t>
      </w:r>
      <w:r>
        <w:rPr>
          <w:sz w:val="24"/>
        </w:rPr>
        <w:t>Warnings</w:t>
      </w:r>
      <w:r>
        <w:rPr>
          <w:spacing w:val="-24"/>
          <w:sz w:val="24"/>
        </w:rPr>
        <w:t> </w:t>
      </w:r>
      <w:r>
        <w:rPr>
          <w:sz w:val="24"/>
        </w:rPr>
        <w:t>are not typically issued for isolated coverage events. Warnings not typically issued for events that will be accompanied by significant rain (greater</w:t>
      </w:r>
      <w:r>
        <w:rPr>
          <w:spacing w:val="-51"/>
          <w:sz w:val="24"/>
        </w:rPr>
        <w:t> </w:t>
      </w:r>
      <w:r>
        <w:rPr>
          <w:sz w:val="24"/>
        </w:rPr>
        <w:t>than</w:t>
      </w:r>
    </w:p>
    <w:p>
      <w:pPr>
        <w:pStyle w:val="BodyText"/>
        <w:ind w:left="2180" w:right="1009"/>
      </w:pPr>
      <w:r>
        <w:rPr/>
        <w:t>0.25 inches). However, if a lightning event will occur with significant rain, but is then followed by very hot and dry conditions, a warning may be issued if holdover/sleeper fires are a concern.</w:t>
      </w:r>
    </w:p>
    <w:p>
      <w:pPr>
        <w:pStyle w:val="BodyText"/>
        <w:spacing w:before="5"/>
        <w:rPr>
          <w:sz w:val="23"/>
        </w:rPr>
      </w:pPr>
    </w:p>
    <w:p>
      <w:pPr>
        <w:pStyle w:val="BodyText"/>
        <w:ind w:left="2180" w:right="876"/>
      </w:pPr>
      <w:r>
        <w:rPr>
          <w:i/>
        </w:rPr>
        <w:t>Resulting Impact of the Event</w:t>
      </w:r>
      <w:r>
        <w:rPr/>
        <w:t>: Numerous fire starts can spread fire resources too thin resulting in a greater likelihood of a start becoming a large and potentially costly wildfire.</w:t>
      </w:r>
    </w:p>
    <w:p>
      <w:pPr>
        <w:pStyle w:val="BodyText"/>
        <w:spacing w:before="5"/>
      </w:pPr>
    </w:p>
    <w:p>
      <w:pPr>
        <w:pStyle w:val="ListParagraph"/>
        <w:numPr>
          <w:ilvl w:val="1"/>
          <w:numId w:val="10"/>
        </w:numPr>
        <w:tabs>
          <w:tab w:pos="2179" w:val="left" w:leader="none"/>
          <w:tab w:pos="2180" w:val="left" w:leader="none"/>
        </w:tabs>
        <w:spacing w:line="240" w:lineRule="auto" w:before="1" w:after="0"/>
        <w:ind w:left="2180" w:right="951" w:hanging="360"/>
        <w:jc w:val="left"/>
        <w:rPr>
          <w:sz w:val="24"/>
        </w:rPr>
      </w:pPr>
      <w:r>
        <w:rPr>
          <w:b/>
          <w:sz w:val="24"/>
        </w:rPr>
        <w:t>DRY &amp; UNSTABLE AIRMASS: </w:t>
      </w:r>
      <w:r>
        <w:rPr>
          <w:sz w:val="24"/>
        </w:rPr>
        <w:t>High elevation Haines Index of 6 in combination with RH of 15% or less over half or more of a zone. Warnings may also be issued for a Haines 5 in situations where large fires may be impacted.</w:t>
      </w:r>
      <w:r>
        <w:rPr>
          <w:spacing w:val="-5"/>
          <w:sz w:val="24"/>
        </w:rPr>
        <w:t> </w:t>
      </w:r>
      <w:r>
        <w:rPr>
          <w:sz w:val="24"/>
        </w:rPr>
        <w:t>Ground</w:t>
      </w:r>
      <w:r>
        <w:rPr>
          <w:spacing w:val="-2"/>
          <w:sz w:val="24"/>
        </w:rPr>
        <w:t> </w:t>
      </w:r>
      <w:r>
        <w:rPr>
          <w:sz w:val="24"/>
        </w:rPr>
        <w:t>truth</w:t>
      </w:r>
      <w:r>
        <w:rPr>
          <w:spacing w:val="-4"/>
          <w:sz w:val="24"/>
        </w:rPr>
        <w:t> </w:t>
      </w:r>
      <w:r>
        <w:rPr>
          <w:sz w:val="24"/>
        </w:rPr>
        <w:t>indicates</w:t>
      </w:r>
      <w:r>
        <w:rPr>
          <w:spacing w:val="-3"/>
          <w:sz w:val="24"/>
        </w:rPr>
        <w:t> </w:t>
      </w:r>
      <w:r>
        <w:rPr>
          <w:sz w:val="24"/>
        </w:rPr>
        <w:t>that</w:t>
      </w:r>
      <w:r>
        <w:rPr>
          <w:spacing w:val="-2"/>
          <w:sz w:val="24"/>
        </w:rPr>
        <w:t> </w:t>
      </w:r>
      <w:r>
        <w:rPr>
          <w:sz w:val="24"/>
        </w:rPr>
        <w:t>there</w:t>
      </w:r>
      <w:r>
        <w:rPr>
          <w:spacing w:val="-2"/>
          <w:sz w:val="24"/>
        </w:rPr>
        <w:t> </w:t>
      </w:r>
      <w:r>
        <w:rPr>
          <w:sz w:val="24"/>
        </w:rPr>
        <w:t>is</w:t>
      </w:r>
      <w:r>
        <w:rPr>
          <w:spacing w:val="-5"/>
          <w:sz w:val="24"/>
        </w:rPr>
        <w:t> </w:t>
      </w:r>
      <w:r>
        <w:rPr>
          <w:sz w:val="24"/>
        </w:rPr>
        <w:t>very</w:t>
      </w:r>
      <w:r>
        <w:rPr>
          <w:spacing w:val="-5"/>
          <w:sz w:val="24"/>
        </w:rPr>
        <w:t> </w:t>
      </w:r>
      <w:r>
        <w:rPr>
          <w:sz w:val="24"/>
        </w:rPr>
        <w:t>little</w:t>
      </w:r>
      <w:r>
        <w:rPr>
          <w:spacing w:val="-2"/>
          <w:sz w:val="24"/>
        </w:rPr>
        <w:t> </w:t>
      </w:r>
      <w:r>
        <w:rPr>
          <w:sz w:val="24"/>
        </w:rPr>
        <w:t>to</w:t>
      </w:r>
      <w:r>
        <w:rPr>
          <w:spacing w:val="-2"/>
          <w:sz w:val="24"/>
        </w:rPr>
        <w:t> </w:t>
      </w:r>
      <w:r>
        <w:rPr>
          <w:sz w:val="24"/>
        </w:rPr>
        <w:t>no</w:t>
      </w:r>
      <w:r>
        <w:rPr>
          <w:spacing w:val="-4"/>
          <w:sz w:val="24"/>
        </w:rPr>
        <w:t> </w:t>
      </w:r>
      <w:r>
        <w:rPr>
          <w:sz w:val="24"/>
        </w:rPr>
        <w:t>difference</w:t>
      </w:r>
      <w:r>
        <w:rPr>
          <w:spacing w:val="-2"/>
          <w:sz w:val="24"/>
        </w:rPr>
        <w:t> </w:t>
      </w:r>
      <w:r>
        <w:rPr>
          <w:sz w:val="24"/>
        </w:rPr>
        <w:t>in</w:t>
      </w:r>
      <w:r>
        <w:rPr>
          <w:spacing w:val="-37"/>
          <w:sz w:val="24"/>
        </w:rPr>
        <w:t> </w:t>
      </w:r>
      <w:r>
        <w:rPr>
          <w:sz w:val="24"/>
        </w:rPr>
        <w:t>fire activity between Haines 5 and Haines 6</w:t>
      </w:r>
      <w:r>
        <w:rPr>
          <w:spacing w:val="-15"/>
          <w:sz w:val="24"/>
        </w:rPr>
        <w:t> </w:t>
      </w:r>
      <w:r>
        <w:rPr>
          <w:sz w:val="24"/>
        </w:rPr>
        <w:t>days.</w:t>
      </w:r>
    </w:p>
    <w:p>
      <w:pPr>
        <w:pStyle w:val="BodyText"/>
        <w:spacing w:before="2"/>
        <w:rPr>
          <w:sz w:val="23"/>
        </w:rPr>
      </w:pPr>
    </w:p>
    <w:p>
      <w:pPr>
        <w:pStyle w:val="BodyText"/>
        <w:spacing w:line="244" w:lineRule="auto"/>
        <w:ind w:left="2180" w:right="875"/>
      </w:pPr>
      <w:r>
        <w:rPr>
          <w:i/>
        </w:rPr>
        <w:t>Resulting Impact of the Event</w:t>
      </w:r>
      <w:r>
        <w:rPr/>
        <w:t>: Very dry and very unstable conditions create a high likelihood that a fire start will exhibit explosive growth and extreme</w:t>
      </w:r>
    </w:p>
    <w:p>
      <w:pPr>
        <w:spacing w:after="0" w:line="244" w:lineRule="auto"/>
        <w:sectPr>
          <w:pgSz w:w="12240" w:h="15840"/>
          <w:pgMar w:header="0" w:footer="968" w:top="1360" w:bottom="1160" w:left="340" w:right="620"/>
        </w:sectPr>
      </w:pPr>
    </w:p>
    <w:p>
      <w:pPr>
        <w:pStyle w:val="BodyText"/>
        <w:spacing w:before="75"/>
        <w:ind w:left="2180" w:right="875"/>
      </w:pPr>
      <w:r>
        <w:rPr/>
        <w:t>burning conditions. Extreme fire behavior is possible including rotating smoke columns and fire whirls (a.k.a. fire tornados) along with an increased threat to fire fighter safety. Note: this event does not start fires but can have a significant impact to ongoing fires.</w:t>
      </w:r>
    </w:p>
    <w:p>
      <w:pPr>
        <w:pStyle w:val="BodyText"/>
        <w:spacing w:before="10"/>
        <w:rPr>
          <w:sz w:val="23"/>
        </w:rPr>
      </w:pPr>
    </w:p>
    <w:p>
      <w:pPr>
        <w:pStyle w:val="ListParagraph"/>
        <w:numPr>
          <w:ilvl w:val="1"/>
          <w:numId w:val="10"/>
        </w:numPr>
        <w:tabs>
          <w:tab w:pos="2179" w:val="left" w:leader="none"/>
          <w:tab w:pos="2180" w:val="left" w:leader="none"/>
        </w:tabs>
        <w:spacing w:line="240" w:lineRule="auto" w:before="0" w:after="0"/>
        <w:ind w:left="2180" w:right="959" w:hanging="360"/>
        <w:jc w:val="left"/>
        <w:rPr>
          <w:sz w:val="24"/>
        </w:rPr>
      </w:pPr>
      <w:r>
        <w:rPr>
          <w:b/>
          <w:sz w:val="24"/>
        </w:rPr>
        <w:t>WIND &amp; LOW HUMIDITY: </w:t>
      </w:r>
      <w:r>
        <w:rPr>
          <w:sz w:val="24"/>
        </w:rPr>
        <w:t>Significant sustained winds combined with low relative humidity (this includes significant dry cold frontal passages) that meets the criteria as defined below at </w:t>
      </w:r>
      <w:r>
        <w:rPr>
          <w:b/>
          <w:sz w:val="24"/>
        </w:rPr>
        <w:t>TWO </w:t>
      </w:r>
      <w:r>
        <w:rPr>
          <w:sz w:val="24"/>
        </w:rPr>
        <w:t>or more RAWS locations simultaneously for two consecutive hours. Other supplementary locations (converted</w:t>
      </w:r>
      <w:r>
        <w:rPr>
          <w:spacing w:val="-2"/>
          <w:sz w:val="24"/>
        </w:rPr>
        <w:t> </w:t>
      </w:r>
      <w:r>
        <w:rPr>
          <w:sz w:val="24"/>
        </w:rPr>
        <w:t>to</w:t>
      </w:r>
      <w:r>
        <w:rPr>
          <w:spacing w:val="-4"/>
          <w:sz w:val="24"/>
        </w:rPr>
        <w:t> </w:t>
      </w:r>
      <w:r>
        <w:rPr>
          <w:sz w:val="24"/>
        </w:rPr>
        <w:t>RAWS</w:t>
      </w:r>
      <w:r>
        <w:rPr>
          <w:spacing w:val="-5"/>
          <w:sz w:val="24"/>
        </w:rPr>
        <w:t> </w:t>
      </w:r>
      <w:r>
        <w:rPr>
          <w:sz w:val="24"/>
        </w:rPr>
        <w:t>20</w:t>
      </w:r>
      <w:r>
        <w:rPr>
          <w:spacing w:val="-4"/>
          <w:sz w:val="24"/>
        </w:rPr>
        <w:t> </w:t>
      </w:r>
      <w:r>
        <w:rPr>
          <w:sz w:val="24"/>
        </w:rPr>
        <w:t>foot/10</w:t>
      </w:r>
      <w:r>
        <w:rPr>
          <w:spacing w:val="-4"/>
          <w:sz w:val="24"/>
        </w:rPr>
        <w:t> </w:t>
      </w:r>
      <w:r>
        <w:rPr>
          <w:sz w:val="24"/>
        </w:rPr>
        <w:t>minute</w:t>
      </w:r>
      <w:r>
        <w:rPr>
          <w:spacing w:val="-2"/>
          <w:sz w:val="24"/>
        </w:rPr>
        <w:t> </w:t>
      </w:r>
      <w:r>
        <w:rPr>
          <w:sz w:val="24"/>
        </w:rPr>
        <w:t>average</w:t>
      </w:r>
      <w:r>
        <w:rPr>
          <w:spacing w:val="-2"/>
          <w:sz w:val="24"/>
        </w:rPr>
        <w:t> </w:t>
      </w:r>
      <w:r>
        <w:rPr>
          <w:sz w:val="24"/>
        </w:rPr>
        <w:t>wind</w:t>
      </w:r>
      <w:r>
        <w:rPr>
          <w:spacing w:val="-2"/>
          <w:sz w:val="24"/>
        </w:rPr>
        <w:t> </w:t>
      </w:r>
      <w:r>
        <w:rPr>
          <w:sz w:val="24"/>
        </w:rPr>
        <w:t>standards)</w:t>
      </w:r>
      <w:r>
        <w:rPr>
          <w:spacing w:val="-6"/>
          <w:sz w:val="24"/>
        </w:rPr>
        <w:t> </w:t>
      </w:r>
      <w:r>
        <w:rPr>
          <w:sz w:val="24"/>
        </w:rPr>
        <w:t>may</w:t>
      </w:r>
      <w:r>
        <w:rPr>
          <w:spacing w:val="-5"/>
          <w:sz w:val="24"/>
        </w:rPr>
        <w:t> </w:t>
      </w:r>
      <w:r>
        <w:rPr>
          <w:sz w:val="24"/>
        </w:rPr>
        <w:t>also</w:t>
      </w:r>
      <w:r>
        <w:rPr>
          <w:spacing w:val="-30"/>
          <w:sz w:val="24"/>
        </w:rPr>
        <w:t> </w:t>
      </w:r>
      <w:r>
        <w:rPr>
          <w:sz w:val="24"/>
        </w:rPr>
        <w:t>be used if they are deemed representative of burning conditions at the</w:t>
      </w:r>
      <w:r>
        <w:rPr>
          <w:spacing w:val="-42"/>
          <w:sz w:val="24"/>
        </w:rPr>
        <w:t> </w:t>
      </w:r>
      <w:r>
        <w:rPr>
          <w:sz w:val="24"/>
        </w:rPr>
        <w:t>time.</w:t>
      </w:r>
    </w:p>
    <w:p>
      <w:pPr>
        <w:pStyle w:val="BodyText"/>
        <w:spacing w:before="10"/>
        <w:rPr>
          <w:sz w:val="23"/>
        </w:rPr>
      </w:pPr>
    </w:p>
    <w:p>
      <w:pPr>
        <w:pStyle w:val="BodyText"/>
        <w:ind w:left="2540" w:right="890"/>
      </w:pPr>
      <w:r>
        <w:rPr>
          <w:b/>
        </w:rPr>
        <w:t>Zones OR/WA639</w:t>
      </w:r>
      <w:r>
        <w:rPr/>
        <w:t>: Relative Humidity at 20% or less </w:t>
      </w:r>
      <w:r>
        <w:rPr>
          <w:b/>
        </w:rPr>
        <w:t>AND </w:t>
      </w:r>
      <w:r>
        <w:rPr/>
        <w:t>sustained wind speed 10 mph or greater. Greyback RAWS (located in zone WA681) will be included for verification purposes in this zone as well.</w:t>
      </w:r>
    </w:p>
    <w:p>
      <w:pPr>
        <w:pStyle w:val="BodyText"/>
      </w:pPr>
    </w:p>
    <w:p>
      <w:pPr>
        <w:pStyle w:val="BodyText"/>
        <w:ind w:left="2540" w:right="1116"/>
      </w:pPr>
      <w:r>
        <w:rPr>
          <w:b/>
        </w:rPr>
        <w:t>Zone OR610</w:t>
      </w:r>
      <w:r>
        <w:rPr/>
        <w:t>: Relative Humidity at 15% or less </w:t>
      </w:r>
      <w:r>
        <w:rPr>
          <w:b/>
        </w:rPr>
        <w:t>AND </w:t>
      </w:r>
      <w:r>
        <w:rPr/>
        <w:t>sustained wind speed 10 mph or greater. Haystack RAWS (located in zone OR630) will be included for verification purposes in this zone as well.</w:t>
      </w:r>
    </w:p>
    <w:p>
      <w:pPr>
        <w:pStyle w:val="BodyText"/>
        <w:spacing w:before="9"/>
        <w:rPr>
          <w:sz w:val="23"/>
        </w:rPr>
      </w:pPr>
    </w:p>
    <w:p>
      <w:pPr>
        <w:pStyle w:val="BodyText"/>
        <w:ind w:left="2540" w:right="916"/>
      </w:pPr>
      <w:r>
        <w:rPr>
          <w:b/>
        </w:rPr>
        <w:t>Zone OR611</w:t>
      </w:r>
      <w:r>
        <w:rPr/>
        <w:t>: Relative Humidity at 15% or less </w:t>
      </w:r>
      <w:r>
        <w:rPr>
          <w:b/>
        </w:rPr>
        <w:t>AND </w:t>
      </w:r>
      <w:r>
        <w:rPr/>
        <w:t>sustained wind speed 10 mph or greater. Timothy RAWS (located in zone OR624) will be included for verification purposes in this zone as well.</w:t>
      </w:r>
    </w:p>
    <w:p>
      <w:pPr>
        <w:pStyle w:val="BodyText"/>
        <w:spacing w:before="9"/>
        <w:rPr>
          <w:sz w:val="23"/>
        </w:rPr>
      </w:pPr>
    </w:p>
    <w:p>
      <w:pPr>
        <w:pStyle w:val="Heading8"/>
        <w:ind w:left="2540"/>
      </w:pPr>
      <w:bookmarkStart w:name="Zones OR640, OR/WA641, OR642, OR/WA643, " w:id="68"/>
      <w:bookmarkEnd w:id="68"/>
      <w:r>
        <w:rPr>
          <w:b w:val="0"/>
        </w:rPr>
      </w:r>
      <w:r>
        <w:rPr/>
        <w:t>Zones OR640, OR/WA641, OR642, OR/WA643, OR644, OR/WA645,</w:t>
      </w:r>
    </w:p>
    <w:p>
      <w:pPr>
        <w:spacing w:before="1"/>
        <w:ind w:left="2539" w:right="0" w:firstLine="0"/>
        <w:jc w:val="left"/>
        <w:rPr>
          <w:sz w:val="24"/>
        </w:rPr>
      </w:pPr>
      <w:r>
        <w:rPr>
          <w:b/>
          <w:sz w:val="24"/>
        </w:rPr>
        <w:t>WA675, &amp; WA681: </w:t>
      </w:r>
      <w:r>
        <w:rPr>
          <w:sz w:val="24"/>
        </w:rPr>
        <w:t>Refer to the following tables:</w:t>
      </w:r>
    </w:p>
    <w:p>
      <w:pPr>
        <w:pStyle w:val="BodyText"/>
        <w:spacing w:before="11"/>
        <w:rPr>
          <w:sz w:val="23"/>
        </w:rPr>
      </w:pPr>
    </w:p>
    <w:p>
      <w:pPr>
        <w:pStyle w:val="Heading8"/>
        <w:spacing w:after="5"/>
        <w:ind w:left="2539"/>
      </w:pPr>
      <w:bookmarkStart w:name="Columbia Basin - Zones OR/WA641 and WA67" w:id="69"/>
      <w:bookmarkEnd w:id="69"/>
      <w:r>
        <w:rPr>
          <w:b w:val="0"/>
        </w:rPr>
      </w:r>
      <w:r>
        <w:rPr/>
        <w:t>Columbia Basin - Zones OR/WA641 and WA675</w:t>
      </w:r>
    </w:p>
    <w:tbl>
      <w:tblPr>
        <w:tblW w:w="0" w:type="auto"/>
        <w:jc w:val="left"/>
        <w:tblInd w:w="2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8"/>
        <w:gridCol w:w="1205"/>
        <w:gridCol w:w="1205"/>
        <w:gridCol w:w="1205"/>
        <w:gridCol w:w="1205"/>
        <w:gridCol w:w="1265"/>
        <w:gridCol w:w="1135"/>
      </w:tblGrid>
      <w:tr>
        <w:trPr>
          <w:trHeight w:val="277" w:hRule="atLeast"/>
        </w:trPr>
        <w:tc>
          <w:tcPr>
            <w:tcW w:w="2033" w:type="dxa"/>
            <w:gridSpan w:val="2"/>
            <w:vMerge w:val="restart"/>
            <w:tcBorders>
              <w:top w:val="nil"/>
              <w:left w:val="nil"/>
            </w:tcBorders>
          </w:tcPr>
          <w:p>
            <w:pPr>
              <w:pStyle w:val="TableParagraph"/>
              <w:rPr>
                <w:rFonts w:ascii="Times New Roman"/>
                <w:sz w:val="24"/>
              </w:rPr>
            </w:pPr>
          </w:p>
        </w:tc>
        <w:tc>
          <w:tcPr>
            <w:tcW w:w="6015" w:type="dxa"/>
            <w:gridSpan w:val="5"/>
          </w:tcPr>
          <w:p>
            <w:pPr>
              <w:pStyle w:val="TableParagraph"/>
              <w:spacing w:line="258" w:lineRule="exact"/>
              <w:ind w:left="530"/>
              <w:rPr>
                <w:sz w:val="24"/>
              </w:rPr>
            </w:pPr>
            <w:r>
              <w:rPr>
                <w:sz w:val="24"/>
              </w:rPr>
              <w:t>Sustained Wind (MPH) Over Widespread Area</w:t>
            </w:r>
          </w:p>
        </w:tc>
      </w:tr>
      <w:tr>
        <w:trPr>
          <w:trHeight w:val="275" w:hRule="atLeast"/>
        </w:trPr>
        <w:tc>
          <w:tcPr>
            <w:tcW w:w="2033" w:type="dxa"/>
            <w:gridSpan w:val="2"/>
            <w:vMerge/>
            <w:tcBorders>
              <w:top w:val="nil"/>
              <w:left w:val="nil"/>
            </w:tcBorders>
          </w:tcPr>
          <w:p>
            <w:pPr>
              <w:rPr>
                <w:sz w:val="2"/>
                <w:szCs w:val="2"/>
              </w:rPr>
            </w:pPr>
          </w:p>
        </w:tc>
        <w:tc>
          <w:tcPr>
            <w:tcW w:w="1205" w:type="dxa"/>
          </w:tcPr>
          <w:p>
            <w:pPr>
              <w:pStyle w:val="TableParagraph"/>
              <w:spacing w:line="256" w:lineRule="exact"/>
              <w:ind w:left="448" w:right="439"/>
              <w:jc w:val="center"/>
              <w:rPr>
                <w:sz w:val="24"/>
              </w:rPr>
            </w:pPr>
            <w:r>
              <w:rPr>
                <w:sz w:val="24"/>
              </w:rPr>
              <w:t>10</w:t>
            </w:r>
          </w:p>
        </w:tc>
        <w:tc>
          <w:tcPr>
            <w:tcW w:w="1205" w:type="dxa"/>
          </w:tcPr>
          <w:p>
            <w:pPr>
              <w:pStyle w:val="TableParagraph"/>
              <w:spacing w:line="256" w:lineRule="exact"/>
              <w:ind w:left="467"/>
              <w:rPr>
                <w:sz w:val="24"/>
              </w:rPr>
            </w:pPr>
            <w:r>
              <w:rPr>
                <w:sz w:val="24"/>
              </w:rPr>
              <w:t>15</w:t>
            </w:r>
          </w:p>
        </w:tc>
        <w:tc>
          <w:tcPr>
            <w:tcW w:w="1205" w:type="dxa"/>
          </w:tcPr>
          <w:p>
            <w:pPr>
              <w:pStyle w:val="TableParagraph"/>
              <w:spacing w:line="256" w:lineRule="exact"/>
              <w:ind w:left="464"/>
              <w:rPr>
                <w:sz w:val="24"/>
              </w:rPr>
            </w:pPr>
            <w:r>
              <w:rPr>
                <w:sz w:val="24"/>
              </w:rPr>
              <w:t>20</w:t>
            </w:r>
          </w:p>
        </w:tc>
        <w:tc>
          <w:tcPr>
            <w:tcW w:w="1265" w:type="dxa"/>
          </w:tcPr>
          <w:p>
            <w:pPr>
              <w:pStyle w:val="TableParagraph"/>
              <w:spacing w:line="256" w:lineRule="exact"/>
              <w:ind w:left="476" w:right="471"/>
              <w:jc w:val="center"/>
              <w:rPr>
                <w:sz w:val="24"/>
              </w:rPr>
            </w:pPr>
            <w:r>
              <w:rPr>
                <w:sz w:val="24"/>
              </w:rPr>
              <w:t>25</w:t>
            </w:r>
          </w:p>
        </w:tc>
        <w:tc>
          <w:tcPr>
            <w:tcW w:w="1135" w:type="dxa"/>
          </w:tcPr>
          <w:p>
            <w:pPr>
              <w:pStyle w:val="TableParagraph"/>
              <w:spacing w:line="256" w:lineRule="exact"/>
              <w:ind w:left="342" w:right="335"/>
              <w:jc w:val="center"/>
              <w:rPr>
                <w:sz w:val="24"/>
              </w:rPr>
            </w:pPr>
            <w:r>
              <w:rPr>
                <w:sz w:val="24"/>
              </w:rPr>
              <w:t>30+</w:t>
            </w:r>
          </w:p>
        </w:tc>
      </w:tr>
      <w:tr>
        <w:trPr>
          <w:trHeight w:val="277" w:hRule="atLeast"/>
        </w:trPr>
        <w:tc>
          <w:tcPr>
            <w:tcW w:w="828" w:type="dxa"/>
            <w:vMerge w:val="restart"/>
          </w:tcPr>
          <w:p>
            <w:pPr>
              <w:pStyle w:val="TableParagraph"/>
              <w:rPr>
                <w:b/>
                <w:sz w:val="26"/>
              </w:rPr>
            </w:pPr>
          </w:p>
          <w:p>
            <w:pPr>
              <w:pStyle w:val="TableParagraph"/>
              <w:spacing w:before="9"/>
              <w:rPr>
                <w:b/>
                <w:sz w:val="35"/>
              </w:rPr>
            </w:pPr>
          </w:p>
          <w:p>
            <w:pPr>
              <w:pStyle w:val="TableParagraph"/>
              <w:ind w:left="237"/>
              <w:rPr>
                <w:sz w:val="24"/>
              </w:rPr>
            </w:pPr>
            <w:r>
              <w:rPr>
                <w:sz w:val="24"/>
              </w:rPr>
              <w:t>RH</w:t>
            </w:r>
          </w:p>
        </w:tc>
        <w:tc>
          <w:tcPr>
            <w:tcW w:w="1205" w:type="dxa"/>
          </w:tcPr>
          <w:p>
            <w:pPr>
              <w:pStyle w:val="TableParagraph"/>
              <w:spacing w:line="258" w:lineRule="exact"/>
              <w:ind w:right="350"/>
              <w:jc w:val="right"/>
              <w:rPr>
                <w:sz w:val="24"/>
              </w:rPr>
            </w:pPr>
            <w:r>
              <w:rPr>
                <w:w w:val="95"/>
                <w:sz w:val="24"/>
              </w:rPr>
              <w:t>35%</w:t>
            </w:r>
          </w:p>
        </w:tc>
        <w:tc>
          <w:tcPr>
            <w:tcW w:w="1205" w:type="dxa"/>
          </w:tcPr>
          <w:p>
            <w:pPr>
              <w:pStyle w:val="TableParagraph"/>
              <w:rPr>
                <w:rFonts w:ascii="Times New Roman"/>
                <w:sz w:val="20"/>
              </w:rPr>
            </w:pPr>
          </w:p>
        </w:tc>
        <w:tc>
          <w:tcPr>
            <w:tcW w:w="1205" w:type="dxa"/>
          </w:tcPr>
          <w:p>
            <w:pPr>
              <w:pStyle w:val="TableParagraph"/>
              <w:rPr>
                <w:rFonts w:ascii="Times New Roman"/>
                <w:sz w:val="20"/>
              </w:rPr>
            </w:pPr>
          </w:p>
        </w:tc>
        <w:tc>
          <w:tcPr>
            <w:tcW w:w="1205" w:type="dxa"/>
          </w:tcPr>
          <w:p>
            <w:pPr>
              <w:pStyle w:val="TableParagraph"/>
              <w:rPr>
                <w:rFonts w:ascii="Times New Roman"/>
                <w:sz w:val="20"/>
              </w:rPr>
            </w:pPr>
          </w:p>
        </w:tc>
        <w:tc>
          <w:tcPr>
            <w:tcW w:w="1265" w:type="dxa"/>
          </w:tcPr>
          <w:p>
            <w:pPr>
              <w:pStyle w:val="TableParagraph"/>
              <w:rPr>
                <w:rFonts w:ascii="Times New Roman"/>
                <w:sz w:val="20"/>
              </w:rPr>
            </w:pPr>
          </w:p>
        </w:tc>
        <w:tc>
          <w:tcPr>
            <w:tcW w:w="1135" w:type="dxa"/>
          </w:tcPr>
          <w:p>
            <w:pPr>
              <w:pStyle w:val="TableParagraph"/>
              <w:spacing w:line="258" w:lineRule="exact"/>
              <w:ind w:left="6"/>
              <w:jc w:val="center"/>
              <w:rPr>
                <w:b/>
                <w:sz w:val="24"/>
              </w:rPr>
            </w:pPr>
            <w:r>
              <w:rPr>
                <w:b/>
                <w:color w:val="FF0000"/>
                <w:w w:val="100"/>
                <w:sz w:val="24"/>
              </w:rPr>
              <w:t>W</w:t>
            </w:r>
          </w:p>
        </w:tc>
      </w:tr>
      <w:tr>
        <w:trPr>
          <w:trHeight w:val="275" w:hRule="atLeast"/>
        </w:trPr>
        <w:tc>
          <w:tcPr>
            <w:tcW w:w="828" w:type="dxa"/>
            <w:vMerge/>
            <w:tcBorders>
              <w:top w:val="nil"/>
            </w:tcBorders>
          </w:tcPr>
          <w:p>
            <w:pPr>
              <w:rPr>
                <w:sz w:val="2"/>
                <w:szCs w:val="2"/>
              </w:rPr>
            </w:pPr>
          </w:p>
        </w:tc>
        <w:tc>
          <w:tcPr>
            <w:tcW w:w="1205" w:type="dxa"/>
          </w:tcPr>
          <w:p>
            <w:pPr>
              <w:pStyle w:val="TableParagraph"/>
              <w:spacing w:line="256" w:lineRule="exact"/>
              <w:ind w:right="350"/>
              <w:jc w:val="right"/>
              <w:rPr>
                <w:sz w:val="24"/>
              </w:rPr>
            </w:pPr>
            <w:r>
              <w:rPr>
                <w:w w:val="95"/>
                <w:sz w:val="24"/>
              </w:rPr>
              <w:t>30%</w:t>
            </w:r>
          </w:p>
        </w:tc>
        <w:tc>
          <w:tcPr>
            <w:tcW w:w="1205" w:type="dxa"/>
          </w:tcPr>
          <w:p>
            <w:pPr>
              <w:pStyle w:val="TableParagraph"/>
              <w:rPr>
                <w:rFonts w:ascii="Times New Roman"/>
                <w:sz w:val="20"/>
              </w:rPr>
            </w:pPr>
          </w:p>
        </w:tc>
        <w:tc>
          <w:tcPr>
            <w:tcW w:w="1205" w:type="dxa"/>
          </w:tcPr>
          <w:p>
            <w:pPr>
              <w:pStyle w:val="TableParagraph"/>
              <w:rPr>
                <w:rFonts w:ascii="Times New Roman"/>
                <w:sz w:val="20"/>
              </w:rPr>
            </w:pPr>
          </w:p>
        </w:tc>
        <w:tc>
          <w:tcPr>
            <w:tcW w:w="1205" w:type="dxa"/>
          </w:tcPr>
          <w:p>
            <w:pPr>
              <w:pStyle w:val="TableParagraph"/>
              <w:rPr>
                <w:rFonts w:ascii="Times New Roman"/>
                <w:sz w:val="20"/>
              </w:rPr>
            </w:pPr>
          </w:p>
        </w:tc>
        <w:tc>
          <w:tcPr>
            <w:tcW w:w="1265" w:type="dxa"/>
          </w:tcPr>
          <w:p>
            <w:pPr>
              <w:pStyle w:val="TableParagraph"/>
              <w:spacing w:line="256" w:lineRule="exact"/>
              <w:ind w:left="1"/>
              <w:jc w:val="center"/>
              <w:rPr>
                <w:b/>
                <w:sz w:val="24"/>
              </w:rPr>
            </w:pPr>
            <w:r>
              <w:rPr>
                <w:b/>
                <w:color w:val="FF0000"/>
                <w:w w:val="100"/>
                <w:sz w:val="24"/>
              </w:rPr>
              <w:t>W</w:t>
            </w:r>
          </w:p>
        </w:tc>
        <w:tc>
          <w:tcPr>
            <w:tcW w:w="1135" w:type="dxa"/>
          </w:tcPr>
          <w:p>
            <w:pPr>
              <w:pStyle w:val="TableParagraph"/>
              <w:spacing w:line="256" w:lineRule="exact"/>
              <w:ind w:left="6"/>
              <w:jc w:val="center"/>
              <w:rPr>
                <w:b/>
                <w:sz w:val="24"/>
              </w:rPr>
            </w:pPr>
            <w:r>
              <w:rPr>
                <w:b/>
                <w:color w:val="FF0000"/>
                <w:w w:val="100"/>
                <w:sz w:val="24"/>
              </w:rPr>
              <w:t>W</w:t>
            </w:r>
          </w:p>
        </w:tc>
      </w:tr>
      <w:tr>
        <w:trPr>
          <w:trHeight w:val="275" w:hRule="atLeast"/>
        </w:trPr>
        <w:tc>
          <w:tcPr>
            <w:tcW w:w="828" w:type="dxa"/>
            <w:vMerge/>
            <w:tcBorders>
              <w:top w:val="nil"/>
            </w:tcBorders>
          </w:tcPr>
          <w:p>
            <w:pPr>
              <w:rPr>
                <w:sz w:val="2"/>
                <w:szCs w:val="2"/>
              </w:rPr>
            </w:pPr>
          </w:p>
        </w:tc>
        <w:tc>
          <w:tcPr>
            <w:tcW w:w="1205" w:type="dxa"/>
          </w:tcPr>
          <w:p>
            <w:pPr>
              <w:pStyle w:val="TableParagraph"/>
              <w:spacing w:line="256" w:lineRule="exact"/>
              <w:ind w:right="350"/>
              <w:jc w:val="right"/>
              <w:rPr>
                <w:sz w:val="24"/>
              </w:rPr>
            </w:pPr>
            <w:r>
              <w:rPr>
                <w:w w:val="95"/>
                <w:sz w:val="24"/>
              </w:rPr>
              <w:t>25%</w:t>
            </w:r>
          </w:p>
        </w:tc>
        <w:tc>
          <w:tcPr>
            <w:tcW w:w="1205" w:type="dxa"/>
          </w:tcPr>
          <w:p>
            <w:pPr>
              <w:pStyle w:val="TableParagraph"/>
              <w:rPr>
                <w:rFonts w:ascii="Times New Roman"/>
                <w:sz w:val="20"/>
              </w:rPr>
            </w:pPr>
          </w:p>
        </w:tc>
        <w:tc>
          <w:tcPr>
            <w:tcW w:w="1205" w:type="dxa"/>
          </w:tcPr>
          <w:p>
            <w:pPr>
              <w:pStyle w:val="TableParagraph"/>
              <w:rPr>
                <w:rFonts w:ascii="Times New Roman"/>
                <w:sz w:val="20"/>
              </w:rPr>
            </w:pPr>
          </w:p>
        </w:tc>
        <w:tc>
          <w:tcPr>
            <w:tcW w:w="1205" w:type="dxa"/>
          </w:tcPr>
          <w:p>
            <w:pPr>
              <w:pStyle w:val="TableParagraph"/>
              <w:spacing w:line="256" w:lineRule="exact"/>
              <w:ind w:left="486"/>
              <w:rPr>
                <w:b/>
                <w:sz w:val="24"/>
              </w:rPr>
            </w:pPr>
            <w:r>
              <w:rPr>
                <w:b/>
                <w:color w:val="FF0000"/>
                <w:w w:val="100"/>
                <w:sz w:val="24"/>
              </w:rPr>
              <w:t>W</w:t>
            </w:r>
          </w:p>
        </w:tc>
        <w:tc>
          <w:tcPr>
            <w:tcW w:w="1265" w:type="dxa"/>
          </w:tcPr>
          <w:p>
            <w:pPr>
              <w:pStyle w:val="TableParagraph"/>
              <w:spacing w:line="256" w:lineRule="exact"/>
              <w:ind w:left="1"/>
              <w:jc w:val="center"/>
              <w:rPr>
                <w:b/>
                <w:sz w:val="24"/>
              </w:rPr>
            </w:pPr>
            <w:r>
              <w:rPr>
                <w:b/>
                <w:color w:val="FF0000"/>
                <w:w w:val="100"/>
                <w:sz w:val="24"/>
              </w:rPr>
              <w:t>W</w:t>
            </w:r>
          </w:p>
        </w:tc>
        <w:tc>
          <w:tcPr>
            <w:tcW w:w="1135" w:type="dxa"/>
          </w:tcPr>
          <w:p>
            <w:pPr>
              <w:pStyle w:val="TableParagraph"/>
              <w:spacing w:line="256" w:lineRule="exact"/>
              <w:ind w:left="6"/>
              <w:jc w:val="center"/>
              <w:rPr>
                <w:b/>
                <w:sz w:val="24"/>
              </w:rPr>
            </w:pPr>
            <w:r>
              <w:rPr>
                <w:b/>
                <w:color w:val="FF0000"/>
                <w:w w:val="100"/>
                <w:sz w:val="24"/>
              </w:rPr>
              <w:t>W</w:t>
            </w:r>
          </w:p>
        </w:tc>
      </w:tr>
      <w:tr>
        <w:trPr>
          <w:trHeight w:val="275" w:hRule="atLeast"/>
        </w:trPr>
        <w:tc>
          <w:tcPr>
            <w:tcW w:w="828" w:type="dxa"/>
            <w:vMerge/>
            <w:tcBorders>
              <w:top w:val="nil"/>
            </w:tcBorders>
          </w:tcPr>
          <w:p>
            <w:pPr>
              <w:rPr>
                <w:sz w:val="2"/>
                <w:szCs w:val="2"/>
              </w:rPr>
            </w:pPr>
          </w:p>
        </w:tc>
        <w:tc>
          <w:tcPr>
            <w:tcW w:w="1205" w:type="dxa"/>
          </w:tcPr>
          <w:p>
            <w:pPr>
              <w:pStyle w:val="TableParagraph"/>
              <w:spacing w:line="256" w:lineRule="exact"/>
              <w:ind w:right="350"/>
              <w:jc w:val="right"/>
              <w:rPr>
                <w:sz w:val="24"/>
              </w:rPr>
            </w:pPr>
            <w:r>
              <w:rPr>
                <w:w w:val="95"/>
                <w:sz w:val="24"/>
              </w:rPr>
              <w:t>20%</w:t>
            </w:r>
          </w:p>
        </w:tc>
        <w:tc>
          <w:tcPr>
            <w:tcW w:w="1205" w:type="dxa"/>
          </w:tcPr>
          <w:p>
            <w:pPr>
              <w:pStyle w:val="TableParagraph"/>
              <w:rPr>
                <w:rFonts w:ascii="Times New Roman"/>
                <w:sz w:val="20"/>
              </w:rPr>
            </w:pPr>
          </w:p>
        </w:tc>
        <w:tc>
          <w:tcPr>
            <w:tcW w:w="1205" w:type="dxa"/>
          </w:tcPr>
          <w:p>
            <w:pPr>
              <w:pStyle w:val="TableParagraph"/>
              <w:spacing w:line="256" w:lineRule="exact"/>
              <w:ind w:left="488"/>
              <w:rPr>
                <w:b/>
                <w:sz w:val="24"/>
              </w:rPr>
            </w:pPr>
            <w:r>
              <w:rPr>
                <w:b/>
                <w:color w:val="FF0000"/>
                <w:w w:val="100"/>
                <w:sz w:val="24"/>
              </w:rPr>
              <w:t>W</w:t>
            </w:r>
          </w:p>
        </w:tc>
        <w:tc>
          <w:tcPr>
            <w:tcW w:w="1205" w:type="dxa"/>
          </w:tcPr>
          <w:p>
            <w:pPr>
              <w:pStyle w:val="TableParagraph"/>
              <w:spacing w:line="256" w:lineRule="exact"/>
              <w:ind w:left="486"/>
              <w:rPr>
                <w:b/>
                <w:sz w:val="24"/>
              </w:rPr>
            </w:pPr>
            <w:r>
              <w:rPr>
                <w:b/>
                <w:color w:val="FF0000"/>
                <w:w w:val="100"/>
                <w:sz w:val="24"/>
              </w:rPr>
              <w:t>W</w:t>
            </w:r>
          </w:p>
        </w:tc>
        <w:tc>
          <w:tcPr>
            <w:tcW w:w="1265" w:type="dxa"/>
          </w:tcPr>
          <w:p>
            <w:pPr>
              <w:pStyle w:val="TableParagraph"/>
              <w:spacing w:line="256" w:lineRule="exact"/>
              <w:ind w:left="1"/>
              <w:jc w:val="center"/>
              <w:rPr>
                <w:b/>
                <w:sz w:val="24"/>
              </w:rPr>
            </w:pPr>
            <w:r>
              <w:rPr>
                <w:b/>
                <w:color w:val="FF0000"/>
                <w:w w:val="100"/>
                <w:sz w:val="24"/>
              </w:rPr>
              <w:t>W</w:t>
            </w:r>
          </w:p>
        </w:tc>
        <w:tc>
          <w:tcPr>
            <w:tcW w:w="1135" w:type="dxa"/>
          </w:tcPr>
          <w:p>
            <w:pPr>
              <w:pStyle w:val="TableParagraph"/>
              <w:spacing w:line="256" w:lineRule="exact"/>
              <w:ind w:left="6"/>
              <w:jc w:val="center"/>
              <w:rPr>
                <w:b/>
                <w:sz w:val="24"/>
              </w:rPr>
            </w:pPr>
            <w:r>
              <w:rPr>
                <w:b/>
                <w:color w:val="FF0000"/>
                <w:w w:val="100"/>
                <w:sz w:val="24"/>
              </w:rPr>
              <w:t>W</w:t>
            </w:r>
          </w:p>
        </w:tc>
      </w:tr>
      <w:tr>
        <w:trPr>
          <w:trHeight w:val="278" w:hRule="atLeast"/>
        </w:trPr>
        <w:tc>
          <w:tcPr>
            <w:tcW w:w="828" w:type="dxa"/>
            <w:vMerge/>
            <w:tcBorders>
              <w:top w:val="nil"/>
            </w:tcBorders>
          </w:tcPr>
          <w:p>
            <w:pPr>
              <w:rPr>
                <w:sz w:val="2"/>
                <w:szCs w:val="2"/>
              </w:rPr>
            </w:pPr>
          </w:p>
        </w:tc>
        <w:tc>
          <w:tcPr>
            <w:tcW w:w="1205" w:type="dxa"/>
          </w:tcPr>
          <w:p>
            <w:pPr>
              <w:pStyle w:val="TableParagraph"/>
              <w:spacing w:line="258" w:lineRule="exact"/>
              <w:ind w:right="350"/>
              <w:jc w:val="right"/>
              <w:rPr>
                <w:sz w:val="24"/>
              </w:rPr>
            </w:pPr>
            <w:r>
              <w:rPr>
                <w:w w:val="95"/>
                <w:sz w:val="24"/>
              </w:rPr>
              <w:t>15%</w:t>
            </w:r>
          </w:p>
        </w:tc>
        <w:tc>
          <w:tcPr>
            <w:tcW w:w="1205" w:type="dxa"/>
          </w:tcPr>
          <w:p>
            <w:pPr>
              <w:pStyle w:val="TableParagraph"/>
              <w:rPr>
                <w:rFonts w:ascii="Times New Roman"/>
                <w:sz w:val="20"/>
              </w:rPr>
            </w:pPr>
          </w:p>
        </w:tc>
        <w:tc>
          <w:tcPr>
            <w:tcW w:w="1205" w:type="dxa"/>
          </w:tcPr>
          <w:p>
            <w:pPr>
              <w:pStyle w:val="TableParagraph"/>
              <w:spacing w:line="258" w:lineRule="exact"/>
              <w:ind w:left="488"/>
              <w:rPr>
                <w:b/>
                <w:sz w:val="24"/>
              </w:rPr>
            </w:pPr>
            <w:r>
              <w:rPr>
                <w:b/>
                <w:color w:val="FF0000"/>
                <w:w w:val="100"/>
                <w:sz w:val="24"/>
              </w:rPr>
              <w:t>W</w:t>
            </w:r>
          </w:p>
        </w:tc>
        <w:tc>
          <w:tcPr>
            <w:tcW w:w="1205" w:type="dxa"/>
          </w:tcPr>
          <w:p>
            <w:pPr>
              <w:pStyle w:val="TableParagraph"/>
              <w:spacing w:line="258" w:lineRule="exact"/>
              <w:ind w:left="486"/>
              <w:rPr>
                <w:b/>
                <w:sz w:val="24"/>
              </w:rPr>
            </w:pPr>
            <w:r>
              <w:rPr>
                <w:b/>
                <w:color w:val="FF0000"/>
                <w:w w:val="100"/>
                <w:sz w:val="24"/>
              </w:rPr>
              <w:t>W</w:t>
            </w:r>
          </w:p>
        </w:tc>
        <w:tc>
          <w:tcPr>
            <w:tcW w:w="1265" w:type="dxa"/>
          </w:tcPr>
          <w:p>
            <w:pPr>
              <w:pStyle w:val="TableParagraph"/>
              <w:spacing w:line="258" w:lineRule="exact"/>
              <w:ind w:left="1"/>
              <w:jc w:val="center"/>
              <w:rPr>
                <w:b/>
                <w:sz w:val="24"/>
              </w:rPr>
            </w:pPr>
            <w:r>
              <w:rPr>
                <w:b/>
                <w:color w:val="FF0000"/>
                <w:w w:val="100"/>
                <w:sz w:val="24"/>
              </w:rPr>
              <w:t>W</w:t>
            </w:r>
          </w:p>
        </w:tc>
        <w:tc>
          <w:tcPr>
            <w:tcW w:w="1135" w:type="dxa"/>
          </w:tcPr>
          <w:p>
            <w:pPr>
              <w:pStyle w:val="TableParagraph"/>
              <w:spacing w:line="258" w:lineRule="exact"/>
              <w:ind w:left="6"/>
              <w:jc w:val="center"/>
              <w:rPr>
                <w:b/>
                <w:sz w:val="24"/>
              </w:rPr>
            </w:pPr>
            <w:r>
              <w:rPr>
                <w:b/>
                <w:color w:val="FF0000"/>
                <w:w w:val="100"/>
                <w:sz w:val="24"/>
              </w:rPr>
              <w:t>W</w:t>
            </w:r>
          </w:p>
        </w:tc>
      </w:tr>
      <w:tr>
        <w:trPr>
          <w:trHeight w:val="275" w:hRule="atLeast"/>
        </w:trPr>
        <w:tc>
          <w:tcPr>
            <w:tcW w:w="828" w:type="dxa"/>
            <w:vMerge/>
            <w:tcBorders>
              <w:top w:val="nil"/>
            </w:tcBorders>
          </w:tcPr>
          <w:p>
            <w:pPr>
              <w:rPr>
                <w:sz w:val="2"/>
                <w:szCs w:val="2"/>
              </w:rPr>
            </w:pPr>
          </w:p>
        </w:tc>
        <w:tc>
          <w:tcPr>
            <w:tcW w:w="1205" w:type="dxa"/>
          </w:tcPr>
          <w:p>
            <w:pPr>
              <w:pStyle w:val="TableParagraph"/>
              <w:spacing w:line="256" w:lineRule="exact"/>
              <w:ind w:right="350"/>
              <w:jc w:val="right"/>
              <w:rPr>
                <w:sz w:val="24"/>
              </w:rPr>
            </w:pPr>
            <w:r>
              <w:rPr>
                <w:w w:val="95"/>
                <w:sz w:val="24"/>
              </w:rPr>
              <w:t>10%</w:t>
            </w:r>
          </w:p>
        </w:tc>
        <w:tc>
          <w:tcPr>
            <w:tcW w:w="1205" w:type="dxa"/>
          </w:tcPr>
          <w:p>
            <w:pPr>
              <w:pStyle w:val="TableParagraph"/>
              <w:rPr>
                <w:rFonts w:ascii="Times New Roman"/>
                <w:sz w:val="20"/>
              </w:rPr>
            </w:pPr>
          </w:p>
        </w:tc>
        <w:tc>
          <w:tcPr>
            <w:tcW w:w="1205" w:type="dxa"/>
          </w:tcPr>
          <w:p>
            <w:pPr>
              <w:pStyle w:val="TableParagraph"/>
              <w:spacing w:line="256" w:lineRule="exact"/>
              <w:ind w:left="488"/>
              <w:rPr>
                <w:b/>
                <w:sz w:val="24"/>
              </w:rPr>
            </w:pPr>
            <w:r>
              <w:rPr>
                <w:b/>
                <w:color w:val="FF0000"/>
                <w:w w:val="100"/>
                <w:sz w:val="24"/>
              </w:rPr>
              <w:t>W</w:t>
            </w:r>
          </w:p>
        </w:tc>
        <w:tc>
          <w:tcPr>
            <w:tcW w:w="1205" w:type="dxa"/>
          </w:tcPr>
          <w:p>
            <w:pPr>
              <w:pStyle w:val="TableParagraph"/>
              <w:spacing w:line="256" w:lineRule="exact"/>
              <w:ind w:left="486"/>
              <w:rPr>
                <w:b/>
                <w:sz w:val="24"/>
              </w:rPr>
            </w:pPr>
            <w:r>
              <w:rPr>
                <w:b/>
                <w:color w:val="FF0000"/>
                <w:w w:val="100"/>
                <w:sz w:val="24"/>
              </w:rPr>
              <w:t>W</w:t>
            </w:r>
          </w:p>
        </w:tc>
        <w:tc>
          <w:tcPr>
            <w:tcW w:w="1265" w:type="dxa"/>
          </w:tcPr>
          <w:p>
            <w:pPr>
              <w:pStyle w:val="TableParagraph"/>
              <w:spacing w:line="256" w:lineRule="exact"/>
              <w:ind w:left="1"/>
              <w:jc w:val="center"/>
              <w:rPr>
                <w:b/>
                <w:sz w:val="24"/>
              </w:rPr>
            </w:pPr>
            <w:r>
              <w:rPr>
                <w:b/>
                <w:color w:val="FF0000"/>
                <w:w w:val="100"/>
                <w:sz w:val="24"/>
              </w:rPr>
              <w:t>W</w:t>
            </w:r>
          </w:p>
        </w:tc>
        <w:tc>
          <w:tcPr>
            <w:tcW w:w="1135" w:type="dxa"/>
          </w:tcPr>
          <w:p>
            <w:pPr>
              <w:pStyle w:val="TableParagraph"/>
              <w:spacing w:line="256" w:lineRule="exact"/>
              <w:ind w:left="6"/>
              <w:jc w:val="center"/>
              <w:rPr>
                <w:b/>
                <w:sz w:val="24"/>
              </w:rPr>
            </w:pPr>
            <w:r>
              <w:rPr>
                <w:b/>
                <w:color w:val="FF0000"/>
                <w:w w:val="100"/>
                <w:sz w:val="24"/>
              </w:rPr>
              <w:t>W</w:t>
            </w:r>
          </w:p>
        </w:tc>
      </w:tr>
    </w:tbl>
    <w:p>
      <w:pPr>
        <w:pStyle w:val="BodyText"/>
        <w:rPr>
          <w:b/>
          <w:sz w:val="26"/>
        </w:rPr>
      </w:pPr>
    </w:p>
    <w:p>
      <w:pPr>
        <w:pStyle w:val="BodyText"/>
        <w:rPr>
          <w:b/>
          <w:sz w:val="26"/>
        </w:rPr>
      </w:pPr>
    </w:p>
    <w:p>
      <w:pPr>
        <w:spacing w:before="223" w:after="5"/>
        <w:ind w:left="2539" w:right="1251" w:firstLine="0"/>
        <w:jc w:val="left"/>
        <w:rPr>
          <w:b/>
          <w:sz w:val="24"/>
        </w:rPr>
      </w:pPr>
      <w:r>
        <w:rPr>
          <w:b/>
          <w:sz w:val="24"/>
        </w:rPr>
        <w:t>The Central and Northeast Oregon Mountains / Yakama Alpine - Zones OR640, OR642, OR/WA643, OR644, OR/WA645, and WA681</w:t>
      </w:r>
    </w:p>
    <w:tbl>
      <w:tblPr>
        <w:tblW w:w="0" w:type="auto"/>
        <w:jc w:val="left"/>
        <w:tblInd w:w="2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7"/>
        <w:gridCol w:w="1241"/>
        <w:gridCol w:w="1140"/>
        <w:gridCol w:w="1236"/>
        <w:gridCol w:w="1234"/>
        <w:gridCol w:w="1236"/>
        <w:gridCol w:w="1142"/>
      </w:tblGrid>
      <w:tr>
        <w:trPr>
          <w:trHeight w:val="278" w:hRule="atLeast"/>
        </w:trPr>
        <w:tc>
          <w:tcPr>
            <w:tcW w:w="2038" w:type="dxa"/>
            <w:gridSpan w:val="2"/>
            <w:vMerge w:val="restart"/>
            <w:tcBorders>
              <w:top w:val="nil"/>
              <w:left w:val="nil"/>
            </w:tcBorders>
          </w:tcPr>
          <w:p>
            <w:pPr>
              <w:pStyle w:val="TableParagraph"/>
              <w:rPr>
                <w:rFonts w:ascii="Times New Roman"/>
                <w:sz w:val="24"/>
              </w:rPr>
            </w:pPr>
          </w:p>
        </w:tc>
        <w:tc>
          <w:tcPr>
            <w:tcW w:w="5988" w:type="dxa"/>
            <w:gridSpan w:val="5"/>
          </w:tcPr>
          <w:p>
            <w:pPr>
              <w:pStyle w:val="TableParagraph"/>
              <w:spacing w:line="258" w:lineRule="exact"/>
              <w:ind w:left="517"/>
              <w:rPr>
                <w:sz w:val="24"/>
              </w:rPr>
            </w:pPr>
            <w:r>
              <w:rPr>
                <w:sz w:val="24"/>
              </w:rPr>
              <w:t>Sustained Wind (MPH) Over Widespread Area</w:t>
            </w:r>
          </w:p>
        </w:tc>
      </w:tr>
      <w:tr>
        <w:trPr>
          <w:trHeight w:val="275" w:hRule="atLeast"/>
        </w:trPr>
        <w:tc>
          <w:tcPr>
            <w:tcW w:w="2038" w:type="dxa"/>
            <w:gridSpan w:val="2"/>
            <w:vMerge/>
            <w:tcBorders>
              <w:top w:val="nil"/>
              <w:left w:val="nil"/>
            </w:tcBorders>
          </w:tcPr>
          <w:p>
            <w:pPr>
              <w:rPr>
                <w:sz w:val="2"/>
                <w:szCs w:val="2"/>
              </w:rPr>
            </w:pPr>
          </w:p>
        </w:tc>
        <w:tc>
          <w:tcPr>
            <w:tcW w:w="1140" w:type="dxa"/>
          </w:tcPr>
          <w:p>
            <w:pPr>
              <w:pStyle w:val="TableParagraph"/>
              <w:spacing w:line="256" w:lineRule="exact"/>
              <w:ind w:left="417" w:right="406"/>
              <w:jc w:val="center"/>
              <w:rPr>
                <w:sz w:val="24"/>
              </w:rPr>
            </w:pPr>
            <w:r>
              <w:rPr>
                <w:sz w:val="24"/>
              </w:rPr>
              <w:t>10</w:t>
            </w:r>
          </w:p>
        </w:tc>
        <w:tc>
          <w:tcPr>
            <w:tcW w:w="1236" w:type="dxa"/>
          </w:tcPr>
          <w:p>
            <w:pPr>
              <w:pStyle w:val="TableParagraph"/>
              <w:spacing w:line="256" w:lineRule="exact"/>
              <w:ind w:left="462" w:right="456"/>
              <w:jc w:val="center"/>
              <w:rPr>
                <w:sz w:val="24"/>
              </w:rPr>
            </w:pPr>
            <w:r>
              <w:rPr>
                <w:sz w:val="24"/>
              </w:rPr>
              <w:t>15</w:t>
            </w:r>
          </w:p>
        </w:tc>
        <w:tc>
          <w:tcPr>
            <w:tcW w:w="1234" w:type="dxa"/>
          </w:tcPr>
          <w:p>
            <w:pPr>
              <w:pStyle w:val="TableParagraph"/>
              <w:spacing w:line="256" w:lineRule="exact"/>
              <w:ind w:left="479"/>
              <w:rPr>
                <w:sz w:val="24"/>
              </w:rPr>
            </w:pPr>
            <w:r>
              <w:rPr>
                <w:sz w:val="24"/>
              </w:rPr>
              <w:t>20</w:t>
            </w:r>
          </w:p>
        </w:tc>
        <w:tc>
          <w:tcPr>
            <w:tcW w:w="1236" w:type="dxa"/>
          </w:tcPr>
          <w:p>
            <w:pPr>
              <w:pStyle w:val="TableParagraph"/>
              <w:spacing w:line="256" w:lineRule="exact"/>
              <w:ind w:left="461" w:right="456"/>
              <w:jc w:val="center"/>
              <w:rPr>
                <w:sz w:val="24"/>
              </w:rPr>
            </w:pPr>
            <w:r>
              <w:rPr>
                <w:sz w:val="24"/>
              </w:rPr>
              <w:t>25</w:t>
            </w:r>
          </w:p>
        </w:tc>
        <w:tc>
          <w:tcPr>
            <w:tcW w:w="1142" w:type="dxa"/>
          </w:tcPr>
          <w:p>
            <w:pPr>
              <w:pStyle w:val="TableParagraph"/>
              <w:spacing w:line="256" w:lineRule="exact"/>
              <w:ind w:left="347" w:right="337"/>
              <w:jc w:val="center"/>
              <w:rPr>
                <w:sz w:val="24"/>
              </w:rPr>
            </w:pPr>
            <w:r>
              <w:rPr>
                <w:sz w:val="24"/>
              </w:rPr>
              <w:t>30+</w:t>
            </w:r>
          </w:p>
        </w:tc>
      </w:tr>
      <w:tr>
        <w:trPr>
          <w:trHeight w:val="275" w:hRule="atLeast"/>
        </w:trPr>
        <w:tc>
          <w:tcPr>
            <w:tcW w:w="797" w:type="dxa"/>
            <w:vMerge w:val="restart"/>
          </w:tcPr>
          <w:p>
            <w:pPr>
              <w:pStyle w:val="TableParagraph"/>
              <w:spacing w:before="2"/>
              <w:rPr>
                <w:b/>
                <w:sz w:val="24"/>
              </w:rPr>
            </w:pPr>
          </w:p>
          <w:p>
            <w:pPr>
              <w:pStyle w:val="TableParagraph"/>
              <w:ind w:left="222"/>
              <w:rPr>
                <w:sz w:val="24"/>
              </w:rPr>
            </w:pPr>
            <w:r>
              <w:rPr>
                <w:sz w:val="24"/>
              </w:rPr>
              <w:t>RH</w:t>
            </w:r>
          </w:p>
        </w:tc>
        <w:tc>
          <w:tcPr>
            <w:tcW w:w="1241" w:type="dxa"/>
          </w:tcPr>
          <w:p>
            <w:pPr>
              <w:pStyle w:val="TableParagraph"/>
              <w:spacing w:line="256" w:lineRule="exact"/>
              <w:ind w:left="359" w:right="350"/>
              <w:jc w:val="center"/>
              <w:rPr>
                <w:sz w:val="24"/>
              </w:rPr>
            </w:pPr>
            <w:r>
              <w:rPr>
                <w:sz w:val="24"/>
              </w:rPr>
              <w:t>30%</w:t>
            </w:r>
          </w:p>
        </w:tc>
        <w:tc>
          <w:tcPr>
            <w:tcW w:w="1140" w:type="dxa"/>
          </w:tcPr>
          <w:p>
            <w:pPr>
              <w:pStyle w:val="TableParagraph"/>
              <w:rPr>
                <w:rFonts w:ascii="Times New Roman"/>
                <w:sz w:val="20"/>
              </w:rPr>
            </w:pPr>
          </w:p>
        </w:tc>
        <w:tc>
          <w:tcPr>
            <w:tcW w:w="1236" w:type="dxa"/>
          </w:tcPr>
          <w:p>
            <w:pPr>
              <w:pStyle w:val="TableParagraph"/>
              <w:rPr>
                <w:rFonts w:ascii="Times New Roman"/>
                <w:sz w:val="20"/>
              </w:rPr>
            </w:pPr>
          </w:p>
        </w:tc>
        <w:tc>
          <w:tcPr>
            <w:tcW w:w="1234" w:type="dxa"/>
          </w:tcPr>
          <w:p>
            <w:pPr>
              <w:pStyle w:val="TableParagraph"/>
              <w:rPr>
                <w:rFonts w:ascii="Times New Roman"/>
                <w:sz w:val="20"/>
              </w:rPr>
            </w:pPr>
          </w:p>
        </w:tc>
        <w:tc>
          <w:tcPr>
            <w:tcW w:w="1236" w:type="dxa"/>
          </w:tcPr>
          <w:p>
            <w:pPr>
              <w:pStyle w:val="TableParagraph"/>
              <w:rPr>
                <w:rFonts w:ascii="Times New Roman"/>
                <w:sz w:val="20"/>
              </w:rPr>
            </w:pPr>
          </w:p>
        </w:tc>
        <w:tc>
          <w:tcPr>
            <w:tcW w:w="1142" w:type="dxa"/>
          </w:tcPr>
          <w:p>
            <w:pPr>
              <w:pStyle w:val="TableParagraph"/>
              <w:spacing w:line="256" w:lineRule="exact"/>
              <w:ind w:left="9"/>
              <w:jc w:val="center"/>
              <w:rPr>
                <w:b/>
                <w:sz w:val="24"/>
              </w:rPr>
            </w:pPr>
            <w:r>
              <w:rPr>
                <w:b/>
                <w:color w:val="FF0000"/>
                <w:w w:val="100"/>
                <w:sz w:val="24"/>
              </w:rPr>
              <w:t>W</w:t>
            </w:r>
          </w:p>
        </w:tc>
      </w:tr>
      <w:tr>
        <w:trPr>
          <w:trHeight w:val="275" w:hRule="atLeast"/>
        </w:trPr>
        <w:tc>
          <w:tcPr>
            <w:tcW w:w="797" w:type="dxa"/>
            <w:vMerge/>
            <w:tcBorders>
              <w:top w:val="nil"/>
            </w:tcBorders>
          </w:tcPr>
          <w:p>
            <w:pPr>
              <w:rPr>
                <w:sz w:val="2"/>
                <w:szCs w:val="2"/>
              </w:rPr>
            </w:pPr>
          </w:p>
        </w:tc>
        <w:tc>
          <w:tcPr>
            <w:tcW w:w="1241" w:type="dxa"/>
          </w:tcPr>
          <w:p>
            <w:pPr>
              <w:pStyle w:val="TableParagraph"/>
              <w:spacing w:line="256" w:lineRule="exact"/>
              <w:ind w:left="359" w:right="350"/>
              <w:jc w:val="center"/>
              <w:rPr>
                <w:sz w:val="24"/>
              </w:rPr>
            </w:pPr>
            <w:r>
              <w:rPr>
                <w:sz w:val="24"/>
              </w:rPr>
              <w:t>25%</w:t>
            </w:r>
          </w:p>
        </w:tc>
        <w:tc>
          <w:tcPr>
            <w:tcW w:w="1140" w:type="dxa"/>
          </w:tcPr>
          <w:p>
            <w:pPr>
              <w:pStyle w:val="TableParagraph"/>
              <w:rPr>
                <w:rFonts w:ascii="Times New Roman"/>
                <w:sz w:val="20"/>
              </w:rPr>
            </w:pPr>
          </w:p>
        </w:tc>
        <w:tc>
          <w:tcPr>
            <w:tcW w:w="1236" w:type="dxa"/>
          </w:tcPr>
          <w:p>
            <w:pPr>
              <w:pStyle w:val="TableParagraph"/>
              <w:rPr>
                <w:rFonts w:ascii="Times New Roman"/>
                <w:sz w:val="20"/>
              </w:rPr>
            </w:pPr>
          </w:p>
        </w:tc>
        <w:tc>
          <w:tcPr>
            <w:tcW w:w="1234" w:type="dxa"/>
          </w:tcPr>
          <w:p>
            <w:pPr>
              <w:pStyle w:val="TableParagraph"/>
              <w:rPr>
                <w:rFonts w:ascii="Times New Roman"/>
                <w:sz w:val="20"/>
              </w:rPr>
            </w:pPr>
          </w:p>
        </w:tc>
        <w:tc>
          <w:tcPr>
            <w:tcW w:w="1236" w:type="dxa"/>
          </w:tcPr>
          <w:p>
            <w:pPr>
              <w:pStyle w:val="TableParagraph"/>
              <w:spacing w:line="256" w:lineRule="exact"/>
              <w:ind w:left="1"/>
              <w:jc w:val="center"/>
              <w:rPr>
                <w:b/>
                <w:sz w:val="24"/>
              </w:rPr>
            </w:pPr>
            <w:r>
              <w:rPr>
                <w:b/>
                <w:color w:val="FF0000"/>
                <w:w w:val="100"/>
                <w:sz w:val="24"/>
              </w:rPr>
              <w:t>W</w:t>
            </w:r>
          </w:p>
        </w:tc>
        <w:tc>
          <w:tcPr>
            <w:tcW w:w="1142" w:type="dxa"/>
          </w:tcPr>
          <w:p>
            <w:pPr>
              <w:pStyle w:val="TableParagraph"/>
              <w:spacing w:line="256" w:lineRule="exact"/>
              <w:ind w:left="9"/>
              <w:jc w:val="center"/>
              <w:rPr>
                <w:b/>
                <w:sz w:val="24"/>
              </w:rPr>
            </w:pPr>
            <w:r>
              <w:rPr>
                <w:b/>
                <w:color w:val="FF0000"/>
                <w:w w:val="100"/>
                <w:sz w:val="24"/>
              </w:rPr>
              <w:t>W</w:t>
            </w:r>
          </w:p>
        </w:tc>
      </w:tr>
      <w:tr>
        <w:trPr>
          <w:trHeight w:val="278" w:hRule="atLeast"/>
        </w:trPr>
        <w:tc>
          <w:tcPr>
            <w:tcW w:w="797" w:type="dxa"/>
            <w:vMerge/>
            <w:tcBorders>
              <w:top w:val="nil"/>
            </w:tcBorders>
          </w:tcPr>
          <w:p>
            <w:pPr>
              <w:rPr>
                <w:sz w:val="2"/>
                <w:szCs w:val="2"/>
              </w:rPr>
            </w:pPr>
          </w:p>
        </w:tc>
        <w:tc>
          <w:tcPr>
            <w:tcW w:w="1241" w:type="dxa"/>
          </w:tcPr>
          <w:p>
            <w:pPr>
              <w:pStyle w:val="TableParagraph"/>
              <w:spacing w:line="258" w:lineRule="exact"/>
              <w:ind w:left="359" w:right="350"/>
              <w:jc w:val="center"/>
              <w:rPr>
                <w:sz w:val="24"/>
              </w:rPr>
            </w:pPr>
            <w:r>
              <w:rPr>
                <w:sz w:val="24"/>
              </w:rPr>
              <w:t>20%</w:t>
            </w:r>
          </w:p>
        </w:tc>
        <w:tc>
          <w:tcPr>
            <w:tcW w:w="1140" w:type="dxa"/>
          </w:tcPr>
          <w:p>
            <w:pPr>
              <w:pStyle w:val="TableParagraph"/>
              <w:rPr>
                <w:rFonts w:ascii="Times New Roman"/>
                <w:sz w:val="20"/>
              </w:rPr>
            </w:pPr>
          </w:p>
        </w:tc>
        <w:tc>
          <w:tcPr>
            <w:tcW w:w="1236" w:type="dxa"/>
          </w:tcPr>
          <w:p>
            <w:pPr>
              <w:pStyle w:val="TableParagraph"/>
              <w:rPr>
                <w:rFonts w:ascii="Times New Roman"/>
                <w:sz w:val="20"/>
              </w:rPr>
            </w:pPr>
          </w:p>
        </w:tc>
        <w:tc>
          <w:tcPr>
            <w:tcW w:w="1234" w:type="dxa"/>
          </w:tcPr>
          <w:p>
            <w:pPr>
              <w:pStyle w:val="TableParagraph"/>
              <w:spacing w:line="258" w:lineRule="exact"/>
              <w:ind w:left="500"/>
              <w:rPr>
                <w:b/>
                <w:sz w:val="24"/>
              </w:rPr>
            </w:pPr>
            <w:r>
              <w:rPr>
                <w:b/>
                <w:color w:val="FF0000"/>
                <w:w w:val="100"/>
                <w:sz w:val="24"/>
              </w:rPr>
              <w:t>W</w:t>
            </w:r>
          </w:p>
        </w:tc>
        <w:tc>
          <w:tcPr>
            <w:tcW w:w="1236" w:type="dxa"/>
          </w:tcPr>
          <w:p>
            <w:pPr>
              <w:pStyle w:val="TableParagraph"/>
              <w:spacing w:line="258" w:lineRule="exact"/>
              <w:ind w:left="1"/>
              <w:jc w:val="center"/>
              <w:rPr>
                <w:b/>
                <w:sz w:val="24"/>
              </w:rPr>
            </w:pPr>
            <w:r>
              <w:rPr>
                <w:b/>
                <w:color w:val="FF0000"/>
                <w:w w:val="100"/>
                <w:sz w:val="24"/>
              </w:rPr>
              <w:t>W</w:t>
            </w:r>
          </w:p>
        </w:tc>
        <w:tc>
          <w:tcPr>
            <w:tcW w:w="1142" w:type="dxa"/>
          </w:tcPr>
          <w:p>
            <w:pPr>
              <w:pStyle w:val="TableParagraph"/>
              <w:spacing w:line="258" w:lineRule="exact"/>
              <w:ind w:left="9"/>
              <w:jc w:val="center"/>
              <w:rPr>
                <w:b/>
                <w:sz w:val="24"/>
              </w:rPr>
            </w:pPr>
            <w:r>
              <w:rPr>
                <w:b/>
                <w:color w:val="FF0000"/>
                <w:w w:val="100"/>
                <w:sz w:val="24"/>
              </w:rPr>
              <w:t>W</w:t>
            </w:r>
          </w:p>
        </w:tc>
      </w:tr>
    </w:tbl>
    <w:p>
      <w:pPr>
        <w:spacing w:after="0" w:line="258" w:lineRule="exact"/>
        <w:jc w:val="center"/>
        <w:rPr>
          <w:sz w:val="24"/>
        </w:rPr>
        <w:sectPr>
          <w:pgSz w:w="12240" w:h="15840"/>
          <w:pgMar w:header="0" w:footer="968" w:top="1360" w:bottom="1240" w:left="340" w:right="620"/>
        </w:sectPr>
      </w:pPr>
    </w:p>
    <w:tbl>
      <w:tblPr>
        <w:tblW w:w="0" w:type="auto"/>
        <w:jc w:val="left"/>
        <w:tblInd w:w="2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7"/>
        <w:gridCol w:w="1241"/>
        <w:gridCol w:w="1140"/>
        <w:gridCol w:w="1234"/>
        <w:gridCol w:w="1236"/>
        <w:gridCol w:w="1236"/>
        <w:gridCol w:w="1142"/>
      </w:tblGrid>
      <w:tr>
        <w:trPr>
          <w:trHeight w:val="275" w:hRule="atLeast"/>
        </w:trPr>
        <w:tc>
          <w:tcPr>
            <w:tcW w:w="797" w:type="dxa"/>
            <w:vMerge w:val="restart"/>
          </w:tcPr>
          <w:p>
            <w:pPr>
              <w:pStyle w:val="TableParagraph"/>
              <w:rPr>
                <w:rFonts w:ascii="Times New Roman"/>
                <w:sz w:val="24"/>
              </w:rPr>
            </w:pPr>
          </w:p>
        </w:tc>
        <w:tc>
          <w:tcPr>
            <w:tcW w:w="1241" w:type="dxa"/>
          </w:tcPr>
          <w:p>
            <w:pPr>
              <w:pStyle w:val="TableParagraph"/>
              <w:spacing w:line="256" w:lineRule="exact"/>
              <w:ind w:right="367"/>
              <w:jc w:val="right"/>
              <w:rPr>
                <w:sz w:val="24"/>
              </w:rPr>
            </w:pPr>
            <w:r>
              <w:rPr>
                <w:w w:val="95"/>
                <w:sz w:val="24"/>
              </w:rPr>
              <w:t>15%</w:t>
            </w:r>
          </w:p>
        </w:tc>
        <w:tc>
          <w:tcPr>
            <w:tcW w:w="1140" w:type="dxa"/>
          </w:tcPr>
          <w:p>
            <w:pPr>
              <w:pStyle w:val="TableParagraph"/>
              <w:rPr>
                <w:rFonts w:ascii="Times New Roman"/>
                <w:sz w:val="20"/>
              </w:rPr>
            </w:pPr>
          </w:p>
        </w:tc>
        <w:tc>
          <w:tcPr>
            <w:tcW w:w="1234" w:type="dxa"/>
          </w:tcPr>
          <w:p>
            <w:pPr>
              <w:pStyle w:val="TableParagraph"/>
              <w:spacing w:line="256" w:lineRule="exact"/>
              <w:ind w:left="9"/>
              <w:jc w:val="center"/>
              <w:rPr>
                <w:b/>
                <w:sz w:val="24"/>
              </w:rPr>
            </w:pPr>
            <w:r>
              <w:rPr>
                <w:b/>
                <w:color w:val="FF0000"/>
                <w:w w:val="100"/>
                <w:sz w:val="24"/>
              </w:rPr>
              <w:t>W</w:t>
            </w:r>
          </w:p>
        </w:tc>
        <w:tc>
          <w:tcPr>
            <w:tcW w:w="1236" w:type="dxa"/>
          </w:tcPr>
          <w:p>
            <w:pPr>
              <w:pStyle w:val="TableParagraph"/>
              <w:spacing w:line="256" w:lineRule="exact"/>
              <w:ind w:left="503"/>
              <w:rPr>
                <w:b/>
                <w:sz w:val="24"/>
              </w:rPr>
            </w:pPr>
            <w:r>
              <w:rPr>
                <w:b/>
                <w:color w:val="FF0000"/>
                <w:w w:val="100"/>
                <w:sz w:val="24"/>
              </w:rPr>
              <w:t>W</w:t>
            </w:r>
          </w:p>
        </w:tc>
        <w:tc>
          <w:tcPr>
            <w:tcW w:w="1236" w:type="dxa"/>
          </w:tcPr>
          <w:p>
            <w:pPr>
              <w:pStyle w:val="TableParagraph"/>
              <w:spacing w:line="256" w:lineRule="exact"/>
              <w:ind w:left="1"/>
              <w:jc w:val="center"/>
              <w:rPr>
                <w:b/>
                <w:sz w:val="24"/>
              </w:rPr>
            </w:pPr>
            <w:r>
              <w:rPr>
                <w:b/>
                <w:color w:val="FF0000"/>
                <w:w w:val="100"/>
                <w:sz w:val="24"/>
              </w:rPr>
              <w:t>W</w:t>
            </w:r>
          </w:p>
        </w:tc>
        <w:tc>
          <w:tcPr>
            <w:tcW w:w="1142" w:type="dxa"/>
          </w:tcPr>
          <w:p>
            <w:pPr>
              <w:pStyle w:val="TableParagraph"/>
              <w:spacing w:line="256" w:lineRule="exact"/>
              <w:ind w:right="443"/>
              <w:jc w:val="right"/>
              <w:rPr>
                <w:b/>
                <w:sz w:val="24"/>
              </w:rPr>
            </w:pPr>
            <w:r>
              <w:rPr>
                <w:b/>
                <w:color w:val="FF0000"/>
                <w:w w:val="100"/>
                <w:sz w:val="24"/>
              </w:rPr>
              <w:t>W</w:t>
            </w:r>
          </w:p>
        </w:tc>
      </w:tr>
      <w:tr>
        <w:trPr>
          <w:trHeight w:val="277" w:hRule="atLeast"/>
        </w:trPr>
        <w:tc>
          <w:tcPr>
            <w:tcW w:w="797" w:type="dxa"/>
            <w:vMerge/>
            <w:tcBorders>
              <w:top w:val="nil"/>
            </w:tcBorders>
          </w:tcPr>
          <w:p>
            <w:pPr>
              <w:rPr>
                <w:sz w:val="2"/>
                <w:szCs w:val="2"/>
              </w:rPr>
            </w:pPr>
          </w:p>
        </w:tc>
        <w:tc>
          <w:tcPr>
            <w:tcW w:w="1241" w:type="dxa"/>
          </w:tcPr>
          <w:p>
            <w:pPr>
              <w:pStyle w:val="TableParagraph"/>
              <w:spacing w:line="258" w:lineRule="exact"/>
              <w:ind w:right="367"/>
              <w:jc w:val="right"/>
              <w:rPr>
                <w:sz w:val="24"/>
              </w:rPr>
            </w:pPr>
            <w:r>
              <w:rPr>
                <w:w w:val="95"/>
                <w:sz w:val="24"/>
              </w:rPr>
              <w:t>10%</w:t>
            </w:r>
          </w:p>
        </w:tc>
        <w:tc>
          <w:tcPr>
            <w:tcW w:w="1140" w:type="dxa"/>
          </w:tcPr>
          <w:p>
            <w:pPr>
              <w:pStyle w:val="TableParagraph"/>
              <w:rPr>
                <w:rFonts w:ascii="Times New Roman"/>
                <w:sz w:val="20"/>
              </w:rPr>
            </w:pPr>
          </w:p>
        </w:tc>
        <w:tc>
          <w:tcPr>
            <w:tcW w:w="1234" w:type="dxa"/>
          </w:tcPr>
          <w:p>
            <w:pPr>
              <w:pStyle w:val="TableParagraph"/>
              <w:spacing w:line="258" w:lineRule="exact"/>
              <w:ind w:left="9"/>
              <w:jc w:val="center"/>
              <w:rPr>
                <w:b/>
                <w:sz w:val="24"/>
              </w:rPr>
            </w:pPr>
            <w:r>
              <w:rPr>
                <w:b/>
                <w:color w:val="FF0000"/>
                <w:w w:val="100"/>
                <w:sz w:val="24"/>
              </w:rPr>
              <w:t>W</w:t>
            </w:r>
          </w:p>
        </w:tc>
        <w:tc>
          <w:tcPr>
            <w:tcW w:w="1236" w:type="dxa"/>
          </w:tcPr>
          <w:p>
            <w:pPr>
              <w:pStyle w:val="TableParagraph"/>
              <w:spacing w:line="258" w:lineRule="exact"/>
              <w:ind w:left="503"/>
              <w:rPr>
                <w:b/>
                <w:sz w:val="24"/>
              </w:rPr>
            </w:pPr>
            <w:r>
              <w:rPr>
                <w:b/>
                <w:color w:val="FF0000"/>
                <w:w w:val="100"/>
                <w:sz w:val="24"/>
              </w:rPr>
              <w:t>W</w:t>
            </w:r>
          </w:p>
        </w:tc>
        <w:tc>
          <w:tcPr>
            <w:tcW w:w="1236" w:type="dxa"/>
          </w:tcPr>
          <w:p>
            <w:pPr>
              <w:pStyle w:val="TableParagraph"/>
              <w:spacing w:line="258" w:lineRule="exact"/>
              <w:ind w:left="1"/>
              <w:jc w:val="center"/>
              <w:rPr>
                <w:b/>
                <w:sz w:val="24"/>
              </w:rPr>
            </w:pPr>
            <w:r>
              <w:rPr>
                <w:b/>
                <w:color w:val="FF0000"/>
                <w:w w:val="100"/>
                <w:sz w:val="24"/>
              </w:rPr>
              <w:t>W</w:t>
            </w:r>
          </w:p>
        </w:tc>
        <w:tc>
          <w:tcPr>
            <w:tcW w:w="1142" w:type="dxa"/>
          </w:tcPr>
          <w:p>
            <w:pPr>
              <w:pStyle w:val="TableParagraph"/>
              <w:spacing w:line="258" w:lineRule="exact"/>
              <w:ind w:right="443"/>
              <w:jc w:val="right"/>
              <w:rPr>
                <w:b/>
                <w:sz w:val="24"/>
              </w:rPr>
            </w:pPr>
            <w:r>
              <w:rPr>
                <w:b/>
                <w:color w:val="FF0000"/>
                <w:w w:val="100"/>
                <w:sz w:val="24"/>
              </w:rPr>
              <w:t>W</w:t>
            </w:r>
          </w:p>
        </w:tc>
      </w:tr>
    </w:tbl>
    <w:p>
      <w:pPr>
        <w:pStyle w:val="BodyText"/>
        <w:rPr>
          <w:b/>
          <w:sz w:val="20"/>
        </w:rPr>
      </w:pPr>
    </w:p>
    <w:p>
      <w:pPr>
        <w:pStyle w:val="BodyText"/>
        <w:spacing w:before="4"/>
        <w:rPr>
          <w:b/>
          <w:sz w:val="19"/>
        </w:rPr>
      </w:pPr>
    </w:p>
    <w:p>
      <w:pPr>
        <w:spacing w:line="240" w:lineRule="auto" w:before="93"/>
        <w:ind w:left="2540" w:right="850" w:firstLine="0"/>
        <w:jc w:val="left"/>
        <w:rPr>
          <w:b/>
          <w:sz w:val="24"/>
        </w:rPr>
      </w:pPr>
      <w:bookmarkStart w:name="Zone OR/WA 639, Zone OR/WA 641, Zone OR/" w:id="70"/>
      <w:bookmarkEnd w:id="70"/>
      <w:r>
        <w:rPr/>
      </w:r>
      <w:r>
        <w:rPr>
          <w:b/>
          <w:sz w:val="24"/>
        </w:rPr>
        <w:t>Zone OR/WA 639, Zone OR/WA 641, Zone OR/WA 643, and Zone OR/WA 645 are considered combined zones for Wind/RH verification purposes. For example, if OR 639 verifies, WA 639 is also considered verified.</w:t>
      </w:r>
    </w:p>
    <w:p>
      <w:pPr>
        <w:pStyle w:val="BodyText"/>
        <w:spacing w:before="4"/>
        <w:rPr>
          <w:b/>
          <w:sz w:val="23"/>
        </w:rPr>
      </w:pPr>
    </w:p>
    <w:p>
      <w:pPr>
        <w:spacing w:before="0"/>
        <w:ind w:left="2540" w:right="0" w:firstLine="0"/>
        <w:jc w:val="left"/>
        <w:rPr>
          <w:sz w:val="24"/>
        </w:rPr>
      </w:pPr>
      <w:r>
        <w:rPr>
          <w:i/>
          <w:sz w:val="24"/>
        </w:rPr>
        <w:t>Red Flag Warning Dissemination</w:t>
      </w:r>
      <w:r>
        <w:rPr>
          <w:sz w:val="24"/>
        </w:rPr>
        <w:t>:</w:t>
      </w:r>
    </w:p>
    <w:p>
      <w:pPr>
        <w:spacing w:before="5"/>
        <w:ind w:left="2539" w:right="848" w:firstLine="0"/>
        <w:jc w:val="left"/>
        <w:rPr>
          <w:sz w:val="24"/>
        </w:rPr>
      </w:pPr>
      <w:r>
        <w:rPr>
          <w:sz w:val="24"/>
        </w:rPr>
        <w:t>A Red Flag Warning dissemination call list has been established in order to rapidly disseminate Fire Weather Watches, Red Flag Warnings, or other rapidly changing weather conditions that do not necessarily meet Red Flag criteria, but will affect fire control or pose a safety threat. </w:t>
      </w:r>
      <w:r>
        <w:rPr>
          <w:b/>
          <w:sz w:val="24"/>
        </w:rPr>
        <w:t>NWS Pendleton will contact the affected dispatch centers who will then contact other affected land management agencies in those zones per the following table</w:t>
      </w:r>
      <w:r>
        <w:rPr>
          <w:sz w:val="24"/>
        </w:rPr>
        <w:t>:</w:t>
      </w:r>
    </w:p>
    <w:p>
      <w:pPr>
        <w:pStyle w:val="BodyText"/>
        <w:rPr>
          <w:sz w:val="20"/>
        </w:rPr>
      </w:pPr>
    </w:p>
    <w:p>
      <w:pPr>
        <w:pStyle w:val="BodyText"/>
        <w:spacing w:before="3"/>
        <w:rPr>
          <w:sz w:val="27"/>
        </w:rPr>
      </w:pPr>
      <w:r>
        <w:rPr/>
        <w:drawing>
          <wp:anchor distT="0" distB="0" distL="0" distR="0" allowOverlap="1" layoutInCell="1" locked="0" behindDoc="0" simplePos="0" relativeHeight="1288">
            <wp:simplePos x="0" y="0"/>
            <wp:positionH relativeFrom="page">
              <wp:posOffset>1883242</wp:posOffset>
            </wp:positionH>
            <wp:positionV relativeFrom="paragraph">
              <wp:posOffset>223943</wp:posOffset>
            </wp:positionV>
            <wp:extent cx="4937298" cy="1536191"/>
            <wp:effectExtent l="0" t="0" r="0" b="0"/>
            <wp:wrapTopAndBottom/>
            <wp:docPr id="25" name="image15.jpeg" descr=""/>
            <wp:cNvGraphicFramePr>
              <a:graphicFrameLocks noChangeAspect="1"/>
            </wp:cNvGraphicFramePr>
            <a:graphic>
              <a:graphicData uri="http://schemas.openxmlformats.org/drawingml/2006/picture">
                <pic:pic>
                  <pic:nvPicPr>
                    <pic:cNvPr id="26" name="image15.jpeg"/>
                    <pic:cNvPicPr/>
                  </pic:nvPicPr>
                  <pic:blipFill>
                    <a:blip r:embed="rId77" cstate="print"/>
                    <a:stretch>
                      <a:fillRect/>
                    </a:stretch>
                  </pic:blipFill>
                  <pic:spPr>
                    <a:xfrm>
                      <a:off x="0" y="0"/>
                      <a:ext cx="4937298" cy="1536191"/>
                    </a:xfrm>
                    <a:prstGeom prst="rect">
                      <a:avLst/>
                    </a:prstGeom>
                  </pic:spPr>
                </pic:pic>
              </a:graphicData>
            </a:graphic>
          </wp:anchor>
        </w:drawing>
      </w:r>
    </w:p>
    <w:p>
      <w:pPr>
        <w:pStyle w:val="BodyText"/>
        <w:rPr>
          <w:sz w:val="20"/>
        </w:rPr>
      </w:pPr>
    </w:p>
    <w:p>
      <w:pPr>
        <w:pStyle w:val="BodyText"/>
        <w:spacing w:before="6"/>
        <w:rPr>
          <w:sz w:val="10"/>
        </w:rPr>
      </w:pPr>
      <w:r>
        <w:rPr/>
        <w:drawing>
          <wp:anchor distT="0" distB="0" distL="0" distR="0" allowOverlap="1" layoutInCell="1" locked="0" behindDoc="0" simplePos="0" relativeHeight="1312">
            <wp:simplePos x="0" y="0"/>
            <wp:positionH relativeFrom="page">
              <wp:posOffset>1851655</wp:posOffset>
            </wp:positionH>
            <wp:positionV relativeFrom="paragraph">
              <wp:posOffset>101918</wp:posOffset>
            </wp:positionV>
            <wp:extent cx="4835223" cy="2671286"/>
            <wp:effectExtent l="0" t="0" r="0" b="0"/>
            <wp:wrapTopAndBottom/>
            <wp:docPr id="27" name="image16.png" descr=""/>
            <wp:cNvGraphicFramePr>
              <a:graphicFrameLocks noChangeAspect="1"/>
            </wp:cNvGraphicFramePr>
            <a:graphic>
              <a:graphicData uri="http://schemas.openxmlformats.org/drawingml/2006/picture">
                <pic:pic>
                  <pic:nvPicPr>
                    <pic:cNvPr id="28" name="image16.png"/>
                    <pic:cNvPicPr/>
                  </pic:nvPicPr>
                  <pic:blipFill>
                    <a:blip r:embed="rId78" cstate="print"/>
                    <a:stretch>
                      <a:fillRect/>
                    </a:stretch>
                  </pic:blipFill>
                  <pic:spPr>
                    <a:xfrm>
                      <a:off x="0" y="0"/>
                      <a:ext cx="4835223" cy="2671286"/>
                    </a:xfrm>
                    <a:prstGeom prst="rect">
                      <a:avLst/>
                    </a:prstGeom>
                  </pic:spPr>
                </pic:pic>
              </a:graphicData>
            </a:graphic>
          </wp:anchor>
        </w:drawing>
      </w:r>
    </w:p>
    <w:p>
      <w:pPr>
        <w:spacing w:after="0"/>
        <w:rPr>
          <w:sz w:val="10"/>
        </w:rPr>
        <w:sectPr>
          <w:pgSz w:w="12240" w:h="15840"/>
          <w:pgMar w:header="0" w:footer="968" w:top="1440" w:bottom="1240" w:left="340" w:right="620"/>
        </w:sectPr>
      </w:pPr>
    </w:p>
    <w:p>
      <w:pPr>
        <w:pStyle w:val="BodyText"/>
        <w:tabs>
          <w:tab w:pos="6139" w:val="left" w:leader="none"/>
        </w:tabs>
        <w:spacing w:line="275" w:lineRule="exact" w:before="75"/>
        <w:ind w:left="1100"/>
      </w:pPr>
      <w:r>
        <w:rPr/>
        <w:t>ORBMC = Blue Mountain</w:t>
      </w:r>
      <w:r>
        <w:rPr>
          <w:spacing w:val="-14"/>
        </w:rPr>
        <w:t> </w:t>
      </w:r>
      <w:r>
        <w:rPr/>
        <w:t>Interagency</w:t>
      </w:r>
      <w:r>
        <w:rPr>
          <w:spacing w:val="-5"/>
        </w:rPr>
        <w:t> </w:t>
      </w:r>
      <w:r>
        <w:rPr/>
        <w:t>Dis.</w:t>
        <w:tab/>
        <w:t>ORJDC = John Day</w:t>
      </w:r>
      <w:r>
        <w:rPr>
          <w:spacing w:val="-8"/>
        </w:rPr>
        <w:t> </w:t>
      </w:r>
      <w:r>
        <w:rPr/>
        <w:t>Dispatch</w:t>
      </w:r>
    </w:p>
    <w:p>
      <w:pPr>
        <w:pStyle w:val="BodyText"/>
        <w:tabs>
          <w:tab w:pos="6139" w:val="left" w:leader="none"/>
        </w:tabs>
        <w:ind w:left="1100" w:right="826"/>
      </w:pPr>
      <w:r>
        <w:rPr/>
        <w:t>ORCOC = Central</w:t>
      </w:r>
      <w:r>
        <w:rPr>
          <w:spacing w:val="-12"/>
        </w:rPr>
        <w:t> </w:t>
      </w:r>
      <w:r>
        <w:rPr/>
        <w:t>Oregon</w:t>
      </w:r>
      <w:r>
        <w:rPr>
          <w:spacing w:val="-2"/>
        </w:rPr>
        <w:t> </w:t>
      </w:r>
      <w:r>
        <w:rPr/>
        <w:t>Dispatch</w:t>
        <w:tab/>
        <w:t>WACWC = Central Washington</w:t>
      </w:r>
      <w:r>
        <w:rPr>
          <w:spacing w:val="-46"/>
        </w:rPr>
        <w:t> </w:t>
      </w:r>
      <w:r>
        <w:rPr/>
        <w:t>Dispatch WAHNC =</w:t>
      </w:r>
      <w:r>
        <w:rPr>
          <w:spacing w:val="-7"/>
        </w:rPr>
        <w:t> </w:t>
      </w:r>
      <w:r>
        <w:rPr/>
        <w:t>Hanford</w:t>
      </w:r>
      <w:r>
        <w:rPr>
          <w:spacing w:val="-6"/>
        </w:rPr>
        <w:t> </w:t>
      </w:r>
      <w:r>
        <w:rPr/>
        <w:t>Fire</w:t>
        <w:tab/>
        <w:t>WAYAC = Yakama BIA Dispatch WACCC = Columbia</w:t>
      </w:r>
      <w:r>
        <w:rPr>
          <w:spacing w:val="-11"/>
        </w:rPr>
        <w:t> </w:t>
      </w:r>
      <w:r>
        <w:rPr/>
        <w:t>Cascade</w:t>
      </w:r>
      <w:r>
        <w:rPr>
          <w:spacing w:val="-3"/>
        </w:rPr>
        <w:t> </w:t>
      </w:r>
      <w:r>
        <w:rPr/>
        <w:t>Dispatch</w:t>
        <w:tab/>
        <w:t>ORWSC = Warm Springs BIA</w:t>
      </w:r>
      <w:r>
        <w:rPr>
          <w:spacing w:val="-16"/>
        </w:rPr>
        <w:t> </w:t>
      </w:r>
      <w:r>
        <w:rPr/>
        <w:t>Dispatch</w:t>
      </w:r>
    </w:p>
    <w:p>
      <w:pPr>
        <w:pStyle w:val="BodyText"/>
        <w:spacing w:before="11"/>
        <w:rPr>
          <w:sz w:val="23"/>
        </w:rPr>
      </w:pPr>
    </w:p>
    <w:p>
      <w:pPr>
        <w:pStyle w:val="BodyText"/>
        <w:ind w:left="1100" w:right="836"/>
      </w:pPr>
      <w:r>
        <w:rPr>
          <w:b/>
        </w:rPr>
        <w:t>IMET Support: </w:t>
      </w:r>
      <w:r>
        <w:rPr/>
        <w:t>Forecasters at National Weather Service Pendleton will provide 24-hour forecast support to IMETs that may be dispatched in the local area. Forecasters will communicate either through direct phone calls, or the use of NWSChat. The chat room that should be used is pdtfire.</w:t>
      </w:r>
    </w:p>
    <w:p>
      <w:pPr>
        <w:pStyle w:val="BodyText"/>
        <w:spacing w:before="6"/>
        <w:rPr>
          <w:sz w:val="23"/>
        </w:rPr>
      </w:pPr>
    </w:p>
    <w:p>
      <w:pPr>
        <w:spacing w:before="0"/>
        <w:ind w:left="1100" w:right="0" w:firstLine="0"/>
        <w:jc w:val="left"/>
        <w:rPr>
          <w:b/>
          <w:sz w:val="32"/>
        </w:rPr>
      </w:pPr>
      <w:bookmarkStart w:name="NON-FORECAST SERVICES" w:id="71"/>
      <w:bookmarkEnd w:id="71"/>
      <w:r>
        <w:rPr/>
      </w:r>
      <w:r>
        <w:rPr>
          <w:b/>
          <w:sz w:val="32"/>
          <w:u w:val="thick"/>
        </w:rPr>
        <w:t>NON-FORECAST SERVICES</w:t>
      </w:r>
    </w:p>
    <w:p>
      <w:pPr>
        <w:pStyle w:val="BodyText"/>
        <w:spacing w:before="5"/>
        <w:ind w:left="1100" w:right="955"/>
      </w:pPr>
      <w:r>
        <w:rPr/>
        <w:t>All requests for teaching assignments, customer meetings, and customer consultations will be honored provided they are scheduled more than three weeks ahead of time.</w:t>
      </w:r>
    </w:p>
    <w:p>
      <w:pPr>
        <w:pStyle w:val="BodyText"/>
        <w:ind w:left="1100" w:right="1351"/>
      </w:pPr>
      <w:r>
        <w:rPr/>
        <w:t>Every effort will be made to honor requests made within a period of less than three weeks depending on schedule availability. Please contact Mary Wister at NWS Pendleton (541) 276-8134, or by e-mail (mary.wister@noaa.gov) to schedule these services.</w:t>
      </w:r>
    </w:p>
    <w:p>
      <w:pPr>
        <w:pStyle w:val="BodyText"/>
      </w:pPr>
    </w:p>
    <w:p>
      <w:pPr>
        <w:pStyle w:val="Heading8"/>
        <w:ind w:left="3207"/>
      </w:pPr>
      <w:bookmarkStart w:name="Pendleton NFDRS Fire Weather Station Ind" w:id="72"/>
      <w:bookmarkEnd w:id="72"/>
      <w:r>
        <w:rPr>
          <w:b w:val="0"/>
        </w:rPr>
      </w:r>
      <w:r>
        <w:rPr/>
        <w:t>Pendleton NFDRS Fire Weather Station Index</w:t>
      </w:r>
    </w:p>
    <w:p>
      <w:pPr>
        <w:pStyle w:val="BodyText"/>
        <w:spacing w:before="4"/>
        <w:rPr>
          <w:b/>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1800"/>
        <w:gridCol w:w="1080"/>
        <w:gridCol w:w="1080"/>
        <w:gridCol w:w="1068"/>
        <w:gridCol w:w="1169"/>
        <w:gridCol w:w="1260"/>
        <w:gridCol w:w="900"/>
        <w:gridCol w:w="1363"/>
      </w:tblGrid>
      <w:tr>
        <w:trPr>
          <w:trHeight w:val="551" w:hRule="atLeast"/>
        </w:trPr>
        <w:tc>
          <w:tcPr>
            <w:tcW w:w="1080" w:type="dxa"/>
            <w:shd w:val="clear" w:color="auto" w:fill="C1C1C1"/>
          </w:tcPr>
          <w:p>
            <w:pPr>
              <w:pStyle w:val="TableParagraph"/>
              <w:spacing w:line="271" w:lineRule="exact"/>
              <w:ind w:right="243"/>
              <w:jc w:val="right"/>
              <w:rPr>
                <w:b/>
                <w:sz w:val="24"/>
              </w:rPr>
            </w:pPr>
            <w:r>
              <w:rPr>
                <w:b/>
                <w:sz w:val="24"/>
              </w:rPr>
              <w:t>Zone</w:t>
            </w:r>
          </w:p>
        </w:tc>
        <w:tc>
          <w:tcPr>
            <w:tcW w:w="1800" w:type="dxa"/>
            <w:shd w:val="clear" w:color="auto" w:fill="C1C1C1"/>
          </w:tcPr>
          <w:p>
            <w:pPr>
              <w:pStyle w:val="TableParagraph"/>
              <w:spacing w:line="271" w:lineRule="exact"/>
              <w:ind w:left="573"/>
              <w:rPr>
                <w:b/>
                <w:sz w:val="24"/>
              </w:rPr>
            </w:pPr>
            <w:r>
              <w:rPr>
                <w:b/>
                <w:sz w:val="24"/>
              </w:rPr>
              <w:t>Name</w:t>
            </w:r>
          </w:p>
        </w:tc>
        <w:tc>
          <w:tcPr>
            <w:tcW w:w="1080" w:type="dxa"/>
            <w:shd w:val="clear" w:color="auto" w:fill="C1C1C1"/>
          </w:tcPr>
          <w:p>
            <w:pPr>
              <w:pStyle w:val="TableParagraph"/>
              <w:spacing w:line="271" w:lineRule="exact"/>
              <w:ind w:left="126"/>
              <w:rPr>
                <w:b/>
                <w:sz w:val="24"/>
              </w:rPr>
            </w:pPr>
            <w:r>
              <w:rPr>
                <w:b/>
                <w:sz w:val="24"/>
              </w:rPr>
              <w:t>NFDRS</w:t>
            </w:r>
          </w:p>
        </w:tc>
        <w:tc>
          <w:tcPr>
            <w:tcW w:w="1080" w:type="dxa"/>
            <w:shd w:val="clear" w:color="auto" w:fill="C1C1C1"/>
          </w:tcPr>
          <w:p>
            <w:pPr>
              <w:pStyle w:val="TableParagraph"/>
              <w:spacing w:line="271" w:lineRule="exact"/>
              <w:ind w:left="258"/>
              <w:rPr>
                <w:b/>
                <w:sz w:val="24"/>
              </w:rPr>
            </w:pPr>
            <w:r>
              <w:rPr>
                <w:b/>
                <w:sz w:val="24"/>
              </w:rPr>
              <w:t>Type</w:t>
            </w:r>
          </w:p>
        </w:tc>
        <w:tc>
          <w:tcPr>
            <w:tcW w:w="1068" w:type="dxa"/>
            <w:shd w:val="clear" w:color="auto" w:fill="C1C1C1"/>
          </w:tcPr>
          <w:p>
            <w:pPr>
              <w:pStyle w:val="TableParagraph"/>
              <w:spacing w:line="271" w:lineRule="exact"/>
              <w:ind w:left="184"/>
              <w:rPr>
                <w:b/>
                <w:sz w:val="24"/>
              </w:rPr>
            </w:pPr>
            <w:r>
              <w:rPr>
                <w:b/>
                <w:sz w:val="24"/>
              </w:rPr>
              <w:t>Agency</w:t>
            </w:r>
          </w:p>
        </w:tc>
        <w:tc>
          <w:tcPr>
            <w:tcW w:w="1169" w:type="dxa"/>
            <w:shd w:val="clear" w:color="auto" w:fill="C1C1C1"/>
          </w:tcPr>
          <w:p>
            <w:pPr>
              <w:pStyle w:val="TableParagraph"/>
              <w:spacing w:line="271" w:lineRule="exact"/>
              <w:ind w:left="278"/>
              <w:rPr>
                <w:b/>
                <w:sz w:val="24"/>
              </w:rPr>
            </w:pPr>
            <w:r>
              <w:rPr>
                <w:b/>
                <w:sz w:val="24"/>
              </w:rPr>
              <w:t>Lat</w:t>
            </w:r>
          </w:p>
        </w:tc>
        <w:tc>
          <w:tcPr>
            <w:tcW w:w="1260" w:type="dxa"/>
            <w:shd w:val="clear" w:color="auto" w:fill="C1C1C1"/>
          </w:tcPr>
          <w:p>
            <w:pPr>
              <w:pStyle w:val="TableParagraph"/>
              <w:spacing w:line="271" w:lineRule="exact"/>
              <w:ind w:left="89" w:right="83"/>
              <w:jc w:val="center"/>
              <w:rPr>
                <w:b/>
                <w:sz w:val="24"/>
              </w:rPr>
            </w:pPr>
            <w:r>
              <w:rPr>
                <w:b/>
                <w:sz w:val="24"/>
              </w:rPr>
              <w:t>Long</w:t>
            </w:r>
          </w:p>
        </w:tc>
        <w:tc>
          <w:tcPr>
            <w:tcW w:w="900" w:type="dxa"/>
            <w:shd w:val="clear" w:color="auto" w:fill="C1C1C1"/>
          </w:tcPr>
          <w:p>
            <w:pPr>
              <w:pStyle w:val="TableParagraph"/>
              <w:spacing w:line="271" w:lineRule="exact"/>
              <w:ind w:right="97"/>
              <w:jc w:val="right"/>
              <w:rPr>
                <w:b/>
                <w:sz w:val="24"/>
              </w:rPr>
            </w:pPr>
            <w:r>
              <w:rPr>
                <w:b/>
                <w:w w:val="95"/>
                <w:sz w:val="24"/>
              </w:rPr>
              <w:t>Elev</w:t>
            </w:r>
          </w:p>
        </w:tc>
        <w:tc>
          <w:tcPr>
            <w:tcW w:w="1363" w:type="dxa"/>
            <w:shd w:val="clear" w:color="auto" w:fill="C1C1C1"/>
          </w:tcPr>
          <w:p>
            <w:pPr>
              <w:pStyle w:val="TableParagraph"/>
              <w:spacing w:line="271" w:lineRule="exact"/>
              <w:ind w:left="155"/>
              <w:rPr>
                <w:b/>
                <w:sz w:val="24"/>
              </w:rPr>
            </w:pPr>
            <w:r>
              <w:rPr>
                <w:b/>
                <w:sz w:val="24"/>
              </w:rPr>
              <w:t>Slope/As</w:t>
            </w:r>
          </w:p>
          <w:p>
            <w:pPr>
              <w:pStyle w:val="TableParagraph"/>
              <w:spacing w:line="260" w:lineRule="exact"/>
              <w:ind w:left="702"/>
              <w:rPr>
                <w:b/>
                <w:sz w:val="24"/>
              </w:rPr>
            </w:pPr>
            <w:r>
              <w:rPr>
                <w:b/>
                <w:sz w:val="24"/>
              </w:rPr>
              <w:t>pe</w:t>
            </w:r>
          </w:p>
        </w:tc>
      </w:tr>
      <w:tr>
        <w:trPr>
          <w:trHeight w:val="551" w:hRule="atLeast"/>
        </w:trPr>
        <w:tc>
          <w:tcPr>
            <w:tcW w:w="1080" w:type="dxa"/>
          </w:tcPr>
          <w:p>
            <w:pPr>
              <w:pStyle w:val="TableParagraph"/>
              <w:spacing w:line="271" w:lineRule="exact"/>
              <w:ind w:right="174"/>
              <w:jc w:val="right"/>
              <w:rPr>
                <w:sz w:val="24"/>
              </w:rPr>
            </w:pPr>
            <w:r>
              <w:rPr>
                <w:sz w:val="24"/>
              </w:rPr>
              <w:t>WA639</w:t>
            </w:r>
          </w:p>
        </w:tc>
        <w:tc>
          <w:tcPr>
            <w:tcW w:w="1800" w:type="dxa"/>
          </w:tcPr>
          <w:p>
            <w:pPr>
              <w:pStyle w:val="TableParagraph"/>
              <w:spacing w:line="271" w:lineRule="exact"/>
              <w:ind w:left="107"/>
              <w:rPr>
                <w:sz w:val="24"/>
              </w:rPr>
            </w:pPr>
            <w:r>
              <w:rPr>
                <w:sz w:val="24"/>
              </w:rPr>
              <w:t>Goldendale</w:t>
            </w:r>
          </w:p>
        </w:tc>
        <w:tc>
          <w:tcPr>
            <w:tcW w:w="1080" w:type="dxa"/>
          </w:tcPr>
          <w:p>
            <w:pPr>
              <w:pStyle w:val="TableParagraph"/>
              <w:spacing w:line="271" w:lineRule="exact"/>
              <w:ind w:left="107"/>
              <w:rPr>
                <w:sz w:val="24"/>
              </w:rPr>
            </w:pPr>
            <w:r>
              <w:rPr>
                <w:sz w:val="24"/>
              </w:rPr>
              <w:t>452408</w:t>
            </w:r>
          </w:p>
        </w:tc>
        <w:tc>
          <w:tcPr>
            <w:tcW w:w="1080" w:type="dxa"/>
          </w:tcPr>
          <w:p>
            <w:pPr>
              <w:pStyle w:val="TableParagraph"/>
              <w:spacing w:line="271" w:lineRule="exact"/>
              <w:ind w:left="107"/>
              <w:rPr>
                <w:sz w:val="24"/>
              </w:rPr>
            </w:pPr>
            <w:r>
              <w:rPr>
                <w:sz w:val="24"/>
              </w:rPr>
              <w:t>RAWS</w:t>
            </w:r>
          </w:p>
        </w:tc>
        <w:tc>
          <w:tcPr>
            <w:tcW w:w="1068" w:type="dxa"/>
          </w:tcPr>
          <w:p>
            <w:pPr>
              <w:pStyle w:val="TableParagraph"/>
              <w:spacing w:line="271" w:lineRule="exact"/>
              <w:ind w:left="107"/>
              <w:rPr>
                <w:sz w:val="24"/>
              </w:rPr>
            </w:pPr>
            <w:r>
              <w:rPr>
                <w:sz w:val="24"/>
              </w:rPr>
              <w:t>DNR</w:t>
            </w:r>
          </w:p>
        </w:tc>
        <w:tc>
          <w:tcPr>
            <w:tcW w:w="1169" w:type="dxa"/>
          </w:tcPr>
          <w:p>
            <w:pPr>
              <w:pStyle w:val="TableParagraph"/>
              <w:spacing w:line="271" w:lineRule="exact"/>
              <w:ind w:left="105"/>
              <w:rPr>
                <w:sz w:val="24"/>
              </w:rPr>
            </w:pPr>
            <w:r>
              <w:rPr>
                <w:sz w:val="24"/>
              </w:rPr>
              <w:t>45.8672</w:t>
            </w:r>
          </w:p>
        </w:tc>
        <w:tc>
          <w:tcPr>
            <w:tcW w:w="1260" w:type="dxa"/>
          </w:tcPr>
          <w:p>
            <w:pPr>
              <w:pStyle w:val="TableParagraph"/>
              <w:spacing w:line="271" w:lineRule="exact"/>
              <w:ind w:left="89" w:right="119"/>
              <w:jc w:val="center"/>
              <w:rPr>
                <w:sz w:val="24"/>
              </w:rPr>
            </w:pPr>
            <w:r>
              <w:rPr>
                <w:sz w:val="24"/>
              </w:rPr>
              <w:t>120.7230</w:t>
            </w:r>
          </w:p>
        </w:tc>
        <w:tc>
          <w:tcPr>
            <w:tcW w:w="900" w:type="dxa"/>
          </w:tcPr>
          <w:p>
            <w:pPr>
              <w:pStyle w:val="TableParagraph"/>
              <w:spacing w:line="271" w:lineRule="exact"/>
              <w:ind w:right="142"/>
              <w:jc w:val="right"/>
              <w:rPr>
                <w:sz w:val="24"/>
              </w:rPr>
            </w:pPr>
            <w:r>
              <w:rPr>
                <w:w w:val="95"/>
                <w:sz w:val="24"/>
              </w:rPr>
              <w:t>1650</w:t>
            </w:r>
          </w:p>
        </w:tc>
        <w:tc>
          <w:tcPr>
            <w:tcW w:w="1363" w:type="dxa"/>
          </w:tcPr>
          <w:p>
            <w:pPr>
              <w:pStyle w:val="TableParagraph"/>
              <w:spacing w:line="271" w:lineRule="exact"/>
              <w:ind w:left="107"/>
              <w:rPr>
                <w:sz w:val="24"/>
              </w:rPr>
            </w:pPr>
            <w:r>
              <w:rPr>
                <w:sz w:val="24"/>
              </w:rPr>
              <w:t>Flat knob-S</w:t>
            </w:r>
          </w:p>
        </w:tc>
      </w:tr>
      <w:tr>
        <w:trPr>
          <w:trHeight w:val="553" w:hRule="atLeast"/>
        </w:trPr>
        <w:tc>
          <w:tcPr>
            <w:tcW w:w="1080" w:type="dxa"/>
          </w:tcPr>
          <w:p>
            <w:pPr>
              <w:pStyle w:val="TableParagraph"/>
              <w:spacing w:line="274" w:lineRule="exact"/>
              <w:ind w:right="174"/>
              <w:jc w:val="right"/>
              <w:rPr>
                <w:sz w:val="24"/>
              </w:rPr>
            </w:pPr>
            <w:r>
              <w:rPr>
                <w:sz w:val="24"/>
              </w:rPr>
              <w:t>WA639</w:t>
            </w:r>
          </w:p>
        </w:tc>
        <w:tc>
          <w:tcPr>
            <w:tcW w:w="1800" w:type="dxa"/>
          </w:tcPr>
          <w:p>
            <w:pPr>
              <w:pStyle w:val="TableParagraph"/>
              <w:spacing w:line="274" w:lineRule="exact"/>
              <w:ind w:left="107"/>
              <w:rPr>
                <w:sz w:val="24"/>
              </w:rPr>
            </w:pPr>
            <w:r>
              <w:rPr>
                <w:sz w:val="24"/>
              </w:rPr>
              <w:t>The Dalles</w:t>
            </w:r>
          </w:p>
        </w:tc>
        <w:tc>
          <w:tcPr>
            <w:tcW w:w="1080" w:type="dxa"/>
          </w:tcPr>
          <w:p>
            <w:pPr>
              <w:pStyle w:val="TableParagraph"/>
              <w:spacing w:line="274" w:lineRule="exact"/>
              <w:ind w:left="107"/>
              <w:rPr>
                <w:sz w:val="24"/>
              </w:rPr>
            </w:pPr>
            <w:r>
              <w:rPr>
                <w:sz w:val="24"/>
              </w:rPr>
              <w:t>452406</w:t>
            </w:r>
          </w:p>
        </w:tc>
        <w:tc>
          <w:tcPr>
            <w:tcW w:w="1080" w:type="dxa"/>
          </w:tcPr>
          <w:p>
            <w:pPr>
              <w:pStyle w:val="TableParagraph"/>
              <w:spacing w:line="274" w:lineRule="exact"/>
              <w:ind w:left="107"/>
              <w:rPr>
                <w:sz w:val="24"/>
              </w:rPr>
            </w:pPr>
            <w:r>
              <w:rPr>
                <w:sz w:val="24"/>
              </w:rPr>
              <w:t>Metar</w:t>
            </w:r>
          </w:p>
        </w:tc>
        <w:tc>
          <w:tcPr>
            <w:tcW w:w="1068" w:type="dxa"/>
          </w:tcPr>
          <w:p>
            <w:pPr>
              <w:pStyle w:val="TableParagraph"/>
              <w:spacing w:line="274" w:lineRule="exact"/>
              <w:ind w:left="107"/>
              <w:rPr>
                <w:sz w:val="24"/>
              </w:rPr>
            </w:pPr>
            <w:r>
              <w:rPr>
                <w:sz w:val="24"/>
              </w:rPr>
              <w:t>FAA</w:t>
            </w:r>
          </w:p>
        </w:tc>
        <w:tc>
          <w:tcPr>
            <w:tcW w:w="1169" w:type="dxa"/>
          </w:tcPr>
          <w:p>
            <w:pPr>
              <w:pStyle w:val="TableParagraph"/>
              <w:spacing w:line="274" w:lineRule="exact"/>
              <w:ind w:left="105"/>
              <w:rPr>
                <w:sz w:val="24"/>
              </w:rPr>
            </w:pPr>
            <w:r>
              <w:rPr>
                <w:sz w:val="24"/>
              </w:rPr>
              <w:t>45.6190</w:t>
            </w:r>
          </w:p>
        </w:tc>
        <w:tc>
          <w:tcPr>
            <w:tcW w:w="1260" w:type="dxa"/>
          </w:tcPr>
          <w:p>
            <w:pPr>
              <w:pStyle w:val="TableParagraph"/>
              <w:spacing w:line="274" w:lineRule="exact"/>
              <w:ind w:left="89" w:right="119"/>
              <w:jc w:val="center"/>
              <w:rPr>
                <w:sz w:val="24"/>
              </w:rPr>
            </w:pPr>
            <w:r>
              <w:rPr>
                <w:sz w:val="24"/>
              </w:rPr>
              <w:t>121.1657</w:t>
            </w:r>
          </w:p>
        </w:tc>
        <w:tc>
          <w:tcPr>
            <w:tcW w:w="900" w:type="dxa"/>
          </w:tcPr>
          <w:p>
            <w:pPr>
              <w:pStyle w:val="TableParagraph"/>
              <w:spacing w:line="274" w:lineRule="exact"/>
              <w:ind w:right="94"/>
              <w:jc w:val="right"/>
              <w:rPr>
                <w:sz w:val="24"/>
              </w:rPr>
            </w:pPr>
            <w:r>
              <w:rPr>
                <w:w w:val="90"/>
                <w:sz w:val="24"/>
              </w:rPr>
              <w:t>210</w:t>
            </w:r>
          </w:p>
        </w:tc>
        <w:tc>
          <w:tcPr>
            <w:tcW w:w="1363" w:type="dxa"/>
          </w:tcPr>
          <w:p>
            <w:pPr>
              <w:pStyle w:val="TableParagraph"/>
              <w:spacing w:line="274" w:lineRule="exact"/>
              <w:ind w:left="107"/>
              <w:rPr>
                <w:sz w:val="24"/>
              </w:rPr>
            </w:pPr>
            <w:r>
              <w:rPr>
                <w:sz w:val="24"/>
              </w:rPr>
              <w:t>W-E valley</w:t>
            </w:r>
          </w:p>
        </w:tc>
      </w:tr>
      <w:tr>
        <w:trPr>
          <w:trHeight w:val="554" w:hRule="atLeast"/>
        </w:trPr>
        <w:tc>
          <w:tcPr>
            <w:tcW w:w="1080" w:type="dxa"/>
          </w:tcPr>
          <w:p>
            <w:pPr>
              <w:pStyle w:val="TableParagraph"/>
              <w:spacing w:line="274" w:lineRule="exact"/>
              <w:ind w:right="198"/>
              <w:jc w:val="right"/>
              <w:rPr>
                <w:sz w:val="24"/>
              </w:rPr>
            </w:pPr>
            <w:r>
              <w:rPr>
                <w:sz w:val="24"/>
              </w:rPr>
              <w:t>OR639</w:t>
            </w:r>
          </w:p>
        </w:tc>
        <w:tc>
          <w:tcPr>
            <w:tcW w:w="1800" w:type="dxa"/>
          </w:tcPr>
          <w:p>
            <w:pPr>
              <w:pStyle w:val="TableParagraph"/>
              <w:spacing w:line="274" w:lineRule="exact"/>
              <w:ind w:left="107"/>
              <w:rPr>
                <w:sz w:val="24"/>
              </w:rPr>
            </w:pPr>
            <w:r>
              <w:rPr>
                <w:sz w:val="24"/>
              </w:rPr>
              <w:t>Middle Mtn</w:t>
            </w:r>
          </w:p>
        </w:tc>
        <w:tc>
          <w:tcPr>
            <w:tcW w:w="1080" w:type="dxa"/>
          </w:tcPr>
          <w:p>
            <w:pPr>
              <w:pStyle w:val="TableParagraph"/>
              <w:spacing w:line="274" w:lineRule="exact"/>
              <w:ind w:left="107"/>
              <w:rPr>
                <w:sz w:val="24"/>
              </w:rPr>
            </w:pPr>
            <w:r>
              <w:rPr>
                <w:sz w:val="24"/>
              </w:rPr>
              <w:t>350812</w:t>
            </w:r>
          </w:p>
        </w:tc>
        <w:tc>
          <w:tcPr>
            <w:tcW w:w="1080" w:type="dxa"/>
          </w:tcPr>
          <w:p>
            <w:pPr>
              <w:pStyle w:val="TableParagraph"/>
              <w:spacing w:line="274" w:lineRule="exact"/>
              <w:ind w:left="107"/>
              <w:rPr>
                <w:sz w:val="24"/>
              </w:rPr>
            </w:pPr>
            <w:r>
              <w:rPr>
                <w:sz w:val="24"/>
              </w:rPr>
              <w:t>RAWS</w:t>
            </w:r>
          </w:p>
        </w:tc>
        <w:tc>
          <w:tcPr>
            <w:tcW w:w="1068" w:type="dxa"/>
          </w:tcPr>
          <w:p>
            <w:pPr>
              <w:pStyle w:val="TableParagraph"/>
              <w:spacing w:line="274" w:lineRule="exact"/>
              <w:ind w:left="107"/>
              <w:rPr>
                <w:sz w:val="24"/>
              </w:rPr>
            </w:pPr>
            <w:r>
              <w:rPr>
                <w:sz w:val="24"/>
              </w:rPr>
              <w:t>ODF</w:t>
            </w:r>
          </w:p>
        </w:tc>
        <w:tc>
          <w:tcPr>
            <w:tcW w:w="1169" w:type="dxa"/>
          </w:tcPr>
          <w:p>
            <w:pPr>
              <w:pStyle w:val="TableParagraph"/>
              <w:spacing w:line="274" w:lineRule="exact"/>
              <w:ind w:left="105"/>
              <w:rPr>
                <w:sz w:val="24"/>
              </w:rPr>
            </w:pPr>
            <w:r>
              <w:rPr>
                <w:sz w:val="24"/>
              </w:rPr>
              <w:t>45.5794</w:t>
            </w:r>
          </w:p>
        </w:tc>
        <w:tc>
          <w:tcPr>
            <w:tcW w:w="1260" w:type="dxa"/>
          </w:tcPr>
          <w:p>
            <w:pPr>
              <w:pStyle w:val="TableParagraph"/>
              <w:spacing w:line="274" w:lineRule="exact"/>
              <w:ind w:left="89" w:right="119"/>
              <w:jc w:val="center"/>
              <w:rPr>
                <w:sz w:val="24"/>
              </w:rPr>
            </w:pPr>
            <w:r>
              <w:rPr>
                <w:sz w:val="24"/>
              </w:rPr>
              <w:t>121.5970</w:t>
            </w:r>
          </w:p>
        </w:tc>
        <w:tc>
          <w:tcPr>
            <w:tcW w:w="900" w:type="dxa"/>
          </w:tcPr>
          <w:p>
            <w:pPr>
              <w:pStyle w:val="TableParagraph"/>
              <w:spacing w:line="274" w:lineRule="exact"/>
              <w:ind w:right="142"/>
              <w:jc w:val="right"/>
              <w:rPr>
                <w:sz w:val="24"/>
              </w:rPr>
            </w:pPr>
            <w:r>
              <w:rPr>
                <w:w w:val="95"/>
                <w:sz w:val="24"/>
              </w:rPr>
              <w:t>2500</w:t>
            </w:r>
          </w:p>
        </w:tc>
        <w:tc>
          <w:tcPr>
            <w:tcW w:w="1363" w:type="dxa"/>
          </w:tcPr>
          <w:p>
            <w:pPr>
              <w:pStyle w:val="TableParagraph"/>
              <w:spacing w:line="274" w:lineRule="exact"/>
              <w:ind w:left="107"/>
              <w:rPr>
                <w:sz w:val="24"/>
              </w:rPr>
            </w:pPr>
            <w:r>
              <w:rPr>
                <w:sz w:val="24"/>
              </w:rPr>
              <w:t>N-S Ridge</w:t>
            </w:r>
          </w:p>
        </w:tc>
      </w:tr>
      <w:tr>
        <w:trPr>
          <w:trHeight w:val="551" w:hRule="atLeast"/>
        </w:trPr>
        <w:tc>
          <w:tcPr>
            <w:tcW w:w="1080" w:type="dxa"/>
          </w:tcPr>
          <w:p>
            <w:pPr>
              <w:pStyle w:val="TableParagraph"/>
              <w:spacing w:line="271" w:lineRule="exact"/>
              <w:ind w:right="198"/>
              <w:jc w:val="right"/>
              <w:rPr>
                <w:sz w:val="24"/>
              </w:rPr>
            </w:pPr>
            <w:r>
              <w:rPr>
                <w:sz w:val="24"/>
              </w:rPr>
              <w:t>OR639</w:t>
            </w:r>
          </w:p>
        </w:tc>
        <w:tc>
          <w:tcPr>
            <w:tcW w:w="1800" w:type="dxa"/>
          </w:tcPr>
          <w:p>
            <w:pPr>
              <w:pStyle w:val="TableParagraph"/>
              <w:spacing w:line="271" w:lineRule="exact"/>
              <w:ind w:left="107"/>
              <w:rPr>
                <w:sz w:val="24"/>
              </w:rPr>
            </w:pPr>
            <w:r>
              <w:rPr>
                <w:sz w:val="24"/>
              </w:rPr>
              <w:t>Pollywog</w:t>
            </w:r>
          </w:p>
        </w:tc>
        <w:tc>
          <w:tcPr>
            <w:tcW w:w="1080" w:type="dxa"/>
          </w:tcPr>
          <w:p>
            <w:pPr>
              <w:pStyle w:val="TableParagraph"/>
              <w:spacing w:line="271" w:lineRule="exact"/>
              <w:ind w:left="107"/>
              <w:rPr>
                <w:sz w:val="24"/>
              </w:rPr>
            </w:pPr>
            <w:r>
              <w:rPr>
                <w:sz w:val="24"/>
              </w:rPr>
              <w:t>350912</w:t>
            </w:r>
          </w:p>
        </w:tc>
        <w:tc>
          <w:tcPr>
            <w:tcW w:w="1080" w:type="dxa"/>
          </w:tcPr>
          <w:p>
            <w:pPr>
              <w:pStyle w:val="TableParagraph"/>
              <w:spacing w:line="271" w:lineRule="exact"/>
              <w:ind w:left="107"/>
              <w:rPr>
                <w:sz w:val="24"/>
              </w:rPr>
            </w:pPr>
            <w:r>
              <w:rPr>
                <w:sz w:val="24"/>
              </w:rPr>
              <w:t>RAWS</w:t>
            </w:r>
          </w:p>
        </w:tc>
        <w:tc>
          <w:tcPr>
            <w:tcW w:w="1068" w:type="dxa"/>
          </w:tcPr>
          <w:p>
            <w:pPr>
              <w:pStyle w:val="TableParagraph"/>
              <w:spacing w:line="271" w:lineRule="exact"/>
              <w:ind w:left="107"/>
              <w:rPr>
                <w:sz w:val="24"/>
              </w:rPr>
            </w:pPr>
            <w:r>
              <w:rPr>
                <w:sz w:val="24"/>
              </w:rPr>
              <w:t>USFS</w:t>
            </w:r>
          </w:p>
        </w:tc>
        <w:tc>
          <w:tcPr>
            <w:tcW w:w="1169" w:type="dxa"/>
          </w:tcPr>
          <w:p>
            <w:pPr>
              <w:pStyle w:val="TableParagraph"/>
              <w:spacing w:line="271" w:lineRule="exact"/>
              <w:ind w:left="105"/>
              <w:rPr>
                <w:sz w:val="24"/>
              </w:rPr>
            </w:pPr>
            <w:r>
              <w:rPr>
                <w:sz w:val="24"/>
              </w:rPr>
              <w:t>45.4586</w:t>
            </w:r>
          </w:p>
        </w:tc>
        <w:tc>
          <w:tcPr>
            <w:tcW w:w="1260" w:type="dxa"/>
          </w:tcPr>
          <w:p>
            <w:pPr>
              <w:pStyle w:val="TableParagraph"/>
              <w:spacing w:line="271" w:lineRule="exact"/>
              <w:ind w:left="89" w:right="119"/>
              <w:jc w:val="center"/>
              <w:rPr>
                <w:sz w:val="24"/>
              </w:rPr>
            </w:pPr>
            <w:r>
              <w:rPr>
                <w:sz w:val="24"/>
              </w:rPr>
              <w:t>121.4464</w:t>
            </w:r>
          </w:p>
        </w:tc>
        <w:tc>
          <w:tcPr>
            <w:tcW w:w="900" w:type="dxa"/>
          </w:tcPr>
          <w:p>
            <w:pPr>
              <w:pStyle w:val="TableParagraph"/>
              <w:spacing w:line="271" w:lineRule="exact"/>
              <w:ind w:right="142"/>
              <w:jc w:val="right"/>
              <w:rPr>
                <w:sz w:val="24"/>
              </w:rPr>
            </w:pPr>
            <w:r>
              <w:rPr>
                <w:w w:val="95"/>
                <w:sz w:val="24"/>
              </w:rPr>
              <w:t>3320</w:t>
            </w:r>
          </w:p>
        </w:tc>
        <w:tc>
          <w:tcPr>
            <w:tcW w:w="1363" w:type="dxa"/>
          </w:tcPr>
          <w:p>
            <w:pPr>
              <w:pStyle w:val="TableParagraph"/>
              <w:spacing w:line="274" w:lineRule="exact" w:before="1"/>
              <w:ind w:left="107" w:right="118"/>
              <w:rPr>
                <w:sz w:val="24"/>
              </w:rPr>
            </w:pPr>
            <w:r>
              <w:rPr>
                <w:sz w:val="24"/>
              </w:rPr>
              <w:t>Lwr slope- S</w:t>
            </w:r>
          </w:p>
        </w:tc>
      </w:tr>
      <w:tr>
        <w:trPr>
          <w:trHeight w:val="551" w:hRule="atLeast"/>
        </w:trPr>
        <w:tc>
          <w:tcPr>
            <w:tcW w:w="1080" w:type="dxa"/>
          </w:tcPr>
          <w:p>
            <w:pPr>
              <w:pStyle w:val="TableParagraph"/>
              <w:spacing w:line="271" w:lineRule="exact"/>
              <w:ind w:right="198"/>
              <w:jc w:val="right"/>
              <w:rPr>
                <w:sz w:val="24"/>
              </w:rPr>
            </w:pPr>
            <w:r>
              <w:rPr>
                <w:sz w:val="24"/>
              </w:rPr>
              <w:t>OR639</w:t>
            </w:r>
          </w:p>
        </w:tc>
        <w:tc>
          <w:tcPr>
            <w:tcW w:w="1800" w:type="dxa"/>
          </w:tcPr>
          <w:p>
            <w:pPr>
              <w:pStyle w:val="TableParagraph"/>
              <w:spacing w:line="271" w:lineRule="exact"/>
              <w:ind w:left="107"/>
              <w:rPr>
                <w:sz w:val="24"/>
              </w:rPr>
            </w:pPr>
            <w:r>
              <w:rPr>
                <w:sz w:val="24"/>
              </w:rPr>
              <w:t>Wamic Mill</w:t>
            </w:r>
          </w:p>
        </w:tc>
        <w:tc>
          <w:tcPr>
            <w:tcW w:w="1080" w:type="dxa"/>
          </w:tcPr>
          <w:p>
            <w:pPr>
              <w:pStyle w:val="TableParagraph"/>
              <w:spacing w:line="271" w:lineRule="exact"/>
              <w:ind w:left="107"/>
              <w:rPr>
                <w:sz w:val="24"/>
              </w:rPr>
            </w:pPr>
            <w:r>
              <w:rPr>
                <w:sz w:val="24"/>
              </w:rPr>
              <w:t>350913</w:t>
            </w:r>
          </w:p>
        </w:tc>
        <w:tc>
          <w:tcPr>
            <w:tcW w:w="1080" w:type="dxa"/>
          </w:tcPr>
          <w:p>
            <w:pPr>
              <w:pStyle w:val="TableParagraph"/>
              <w:spacing w:line="271" w:lineRule="exact"/>
              <w:ind w:left="107"/>
              <w:rPr>
                <w:sz w:val="24"/>
              </w:rPr>
            </w:pPr>
            <w:r>
              <w:rPr>
                <w:sz w:val="24"/>
              </w:rPr>
              <w:t>RAWS</w:t>
            </w:r>
          </w:p>
        </w:tc>
        <w:tc>
          <w:tcPr>
            <w:tcW w:w="1068" w:type="dxa"/>
          </w:tcPr>
          <w:p>
            <w:pPr>
              <w:pStyle w:val="TableParagraph"/>
              <w:spacing w:line="271" w:lineRule="exact"/>
              <w:ind w:left="107"/>
              <w:rPr>
                <w:sz w:val="24"/>
              </w:rPr>
            </w:pPr>
            <w:r>
              <w:rPr>
                <w:sz w:val="24"/>
              </w:rPr>
              <w:t>USFS</w:t>
            </w:r>
          </w:p>
        </w:tc>
        <w:tc>
          <w:tcPr>
            <w:tcW w:w="1169" w:type="dxa"/>
          </w:tcPr>
          <w:p>
            <w:pPr>
              <w:pStyle w:val="TableParagraph"/>
              <w:spacing w:line="271" w:lineRule="exact"/>
              <w:ind w:left="105"/>
              <w:rPr>
                <w:sz w:val="24"/>
              </w:rPr>
            </w:pPr>
            <w:r>
              <w:rPr>
                <w:sz w:val="24"/>
              </w:rPr>
              <w:t>45.2333</w:t>
            </w:r>
          </w:p>
        </w:tc>
        <w:tc>
          <w:tcPr>
            <w:tcW w:w="1260" w:type="dxa"/>
          </w:tcPr>
          <w:p>
            <w:pPr>
              <w:pStyle w:val="TableParagraph"/>
              <w:spacing w:line="271" w:lineRule="exact"/>
              <w:ind w:left="89" w:right="119"/>
              <w:jc w:val="center"/>
              <w:rPr>
                <w:sz w:val="24"/>
              </w:rPr>
            </w:pPr>
            <w:r>
              <w:rPr>
                <w:sz w:val="24"/>
              </w:rPr>
              <w:t>121.4500</w:t>
            </w:r>
          </w:p>
        </w:tc>
        <w:tc>
          <w:tcPr>
            <w:tcW w:w="900" w:type="dxa"/>
          </w:tcPr>
          <w:p>
            <w:pPr>
              <w:pStyle w:val="TableParagraph"/>
              <w:spacing w:line="271" w:lineRule="exact"/>
              <w:ind w:right="142"/>
              <w:jc w:val="right"/>
              <w:rPr>
                <w:sz w:val="24"/>
              </w:rPr>
            </w:pPr>
            <w:r>
              <w:rPr>
                <w:w w:val="95"/>
                <w:sz w:val="24"/>
              </w:rPr>
              <w:t>3320</w:t>
            </w:r>
          </w:p>
        </w:tc>
        <w:tc>
          <w:tcPr>
            <w:tcW w:w="1363" w:type="dxa"/>
          </w:tcPr>
          <w:p>
            <w:pPr>
              <w:pStyle w:val="TableParagraph"/>
              <w:spacing w:line="274" w:lineRule="exact" w:before="1"/>
              <w:ind w:left="107" w:right="118"/>
              <w:rPr>
                <w:sz w:val="24"/>
              </w:rPr>
            </w:pPr>
            <w:r>
              <w:rPr>
                <w:sz w:val="24"/>
              </w:rPr>
              <w:t>Upr slope- S</w:t>
            </w:r>
          </w:p>
        </w:tc>
      </w:tr>
      <w:tr>
        <w:trPr>
          <w:trHeight w:val="551" w:hRule="atLeast"/>
        </w:trPr>
        <w:tc>
          <w:tcPr>
            <w:tcW w:w="1080" w:type="dxa"/>
          </w:tcPr>
          <w:p>
            <w:pPr>
              <w:pStyle w:val="TableParagraph"/>
              <w:spacing w:line="271" w:lineRule="exact"/>
              <w:ind w:right="198"/>
              <w:jc w:val="right"/>
              <w:rPr>
                <w:sz w:val="24"/>
              </w:rPr>
            </w:pPr>
            <w:r>
              <w:rPr>
                <w:sz w:val="24"/>
              </w:rPr>
              <w:t>OR639</w:t>
            </w:r>
          </w:p>
        </w:tc>
        <w:tc>
          <w:tcPr>
            <w:tcW w:w="1800" w:type="dxa"/>
          </w:tcPr>
          <w:p>
            <w:pPr>
              <w:pStyle w:val="TableParagraph"/>
              <w:spacing w:line="271" w:lineRule="exact"/>
              <w:ind w:left="107"/>
              <w:rPr>
                <w:sz w:val="24"/>
              </w:rPr>
            </w:pPr>
            <w:r>
              <w:rPr>
                <w:sz w:val="24"/>
              </w:rPr>
              <w:t>Wasco Butte</w:t>
            </w:r>
          </w:p>
        </w:tc>
        <w:tc>
          <w:tcPr>
            <w:tcW w:w="1080" w:type="dxa"/>
          </w:tcPr>
          <w:p>
            <w:pPr>
              <w:pStyle w:val="TableParagraph"/>
              <w:spacing w:line="271" w:lineRule="exact"/>
              <w:ind w:left="107"/>
              <w:rPr>
                <w:sz w:val="24"/>
              </w:rPr>
            </w:pPr>
            <w:r>
              <w:rPr>
                <w:sz w:val="24"/>
              </w:rPr>
              <w:t>350919</w:t>
            </w:r>
          </w:p>
        </w:tc>
        <w:tc>
          <w:tcPr>
            <w:tcW w:w="1080" w:type="dxa"/>
          </w:tcPr>
          <w:p>
            <w:pPr>
              <w:pStyle w:val="TableParagraph"/>
              <w:spacing w:line="271" w:lineRule="exact"/>
              <w:ind w:left="107"/>
              <w:rPr>
                <w:sz w:val="24"/>
              </w:rPr>
            </w:pPr>
            <w:r>
              <w:rPr>
                <w:sz w:val="24"/>
              </w:rPr>
              <w:t>RAWS</w:t>
            </w:r>
          </w:p>
        </w:tc>
        <w:tc>
          <w:tcPr>
            <w:tcW w:w="1068" w:type="dxa"/>
          </w:tcPr>
          <w:p>
            <w:pPr>
              <w:pStyle w:val="TableParagraph"/>
              <w:spacing w:line="271" w:lineRule="exact"/>
              <w:ind w:left="107"/>
              <w:rPr>
                <w:sz w:val="24"/>
              </w:rPr>
            </w:pPr>
            <w:r>
              <w:rPr>
                <w:sz w:val="24"/>
              </w:rPr>
              <w:t>ODF</w:t>
            </w:r>
          </w:p>
        </w:tc>
        <w:tc>
          <w:tcPr>
            <w:tcW w:w="1169" w:type="dxa"/>
          </w:tcPr>
          <w:p>
            <w:pPr>
              <w:pStyle w:val="TableParagraph"/>
              <w:spacing w:line="271" w:lineRule="exact"/>
              <w:ind w:left="105"/>
              <w:rPr>
                <w:sz w:val="24"/>
              </w:rPr>
            </w:pPr>
            <w:r>
              <w:rPr>
                <w:sz w:val="24"/>
              </w:rPr>
              <w:t>45.6167</w:t>
            </w:r>
          </w:p>
        </w:tc>
        <w:tc>
          <w:tcPr>
            <w:tcW w:w="1260" w:type="dxa"/>
          </w:tcPr>
          <w:p>
            <w:pPr>
              <w:pStyle w:val="TableParagraph"/>
              <w:spacing w:line="271" w:lineRule="exact"/>
              <w:ind w:left="89" w:right="119"/>
              <w:jc w:val="center"/>
              <w:rPr>
                <w:sz w:val="24"/>
              </w:rPr>
            </w:pPr>
            <w:r>
              <w:rPr>
                <w:sz w:val="24"/>
              </w:rPr>
              <w:t>121.3353</w:t>
            </w:r>
          </w:p>
        </w:tc>
        <w:tc>
          <w:tcPr>
            <w:tcW w:w="900" w:type="dxa"/>
          </w:tcPr>
          <w:p>
            <w:pPr>
              <w:pStyle w:val="TableParagraph"/>
              <w:spacing w:line="271" w:lineRule="exact"/>
              <w:ind w:right="142"/>
              <w:jc w:val="right"/>
              <w:rPr>
                <w:sz w:val="24"/>
              </w:rPr>
            </w:pPr>
            <w:r>
              <w:rPr>
                <w:w w:val="95"/>
                <w:sz w:val="24"/>
              </w:rPr>
              <w:t>2345</w:t>
            </w:r>
          </w:p>
        </w:tc>
        <w:tc>
          <w:tcPr>
            <w:tcW w:w="1363" w:type="dxa"/>
          </w:tcPr>
          <w:p>
            <w:pPr>
              <w:pStyle w:val="TableParagraph"/>
              <w:spacing w:line="271" w:lineRule="exact"/>
              <w:ind w:left="107"/>
              <w:rPr>
                <w:sz w:val="24"/>
              </w:rPr>
            </w:pPr>
            <w:r>
              <w:rPr>
                <w:sz w:val="24"/>
              </w:rPr>
              <w:t>Butte top</w:t>
            </w:r>
          </w:p>
        </w:tc>
      </w:tr>
      <w:tr>
        <w:trPr>
          <w:trHeight w:val="275" w:hRule="atLeast"/>
        </w:trPr>
        <w:tc>
          <w:tcPr>
            <w:tcW w:w="1080" w:type="dxa"/>
          </w:tcPr>
          <w:p>
            <w:pPr>
              <w:pStyle w:val="TableParagraph"/>
              <w:rPr>
                <w:rFonts w:ascii="Times New Roman"/>
                <w:sz w:val="20"/>
              </w:rPr>
            </w:pPr>
          </w:p>
        </w:tc>
        <w:tc>
          <w:tcPr>
            <w:tcW w:w="1800" w:type="dxa"/>
          </w:tcPr>
          <w:p>
            <w:pPr>
              <w:pStyle w:val="TableParagraph"/>
              <w:rPr>
                <w:rFonts w:ascii="Times New Roman"/>
                <w:sz w:val="20"/>
              </w:rPr>
            </w:pPr>
          </w:p>
        </w:tc>
        <w:tc>
          <w:tcPr>
            <w:tcW w:w="1080" w:type="dxa"/>
          </w:tcPr>
          <w:p>
            <w:pPr>
              <w:pStyle w:val="TableParagraph"/>
              <w:rPr>
                <w:rFonts w:ascii="Times New Roman"/>
                <w:sz w:val="20"/>
              </w:rPr>
            </w:pPr>
          </w:p>
        </w:tc>
        <w:tc>
          <w:tcPr>
            <w:tcW w:w="1080" w:type="dxa"/>
          </w:tcPr>
          <w:p>
            <w:pPr>
              <w:pStyle w:val="TableParagraph"/>
              <w:rPr>
                <w:rFonts w:ascii="Times New Roman"/>
                <w:sz w:val="20"/>
              </w:rPr>
            </w:pPr>
          </w:p>
        </w:tc>
        <w:tc>
          <w:tcPr>
            <w:tcW w:w="1068" w:type="dxa"/>
          </w:tcPr>
          <w:p>
            <w:pPr>
              <w:pStyle w:val="TableParagraph"/>
              <w:rPr>
                <w:rFonts w:ascii="Times New Roman"/>
                <w:sz w:val="20"/>
              </w:rPr>
            </w:pPr>
          </w:p>
        </w:tc>
        <w:tc>
          <w:tcPr>
            <w:tcW w:w="1169" w:type="dxa"/>
          </w:tcPr>
          <w:p>
            <w:pPr>
              <w:pStyle w:val="TableParagraph"/>
              <w:rPr>
                <w:rFonts w:ascii="Times New Roman"/>
                <w:sz w:val="20"/>
              </w:rPr>
            </w:pPr>
          </w:p>
        </w:tc>
        <w:tc>
          <w:tcPr>
            <w:tcW w:w="1260" w:type="dxa"/>
          </w:tcPr>
          <w:p>
            <w:pPr>
              <w:pStyle w:val="TableParagraph"/>
              <w:rPr>
                <w:rFonts w:ascii="Times New Roman"/>
                <w:sz w:val="20"/>
              </w:rPr>
            </w:pPr>
          </w:p>
        </w:tc>
        <w:tc>
          <w:tcPr>
            <w:tcW w:w="900" w:type="dxa"/>
          </w:tcPr>
          <w:p>
            <w:pPr>
              <w:pStyle w:val="TableParagraph"/>
              <w:rPr>
                <w:rFonts w:ascii="Times New Roman"/>
                <w:sz w:val="20"/>
              </w:rPr>
            </w:pPr>
          </w:p>
        </w:tc>
        <w:tc>
          <w:tcPr>
            <w:tcW w:w="1363" w:type="dxa"/>
          </w:tcPr>
          <w:p>
            <w:pPr>
              <w:pStyle w:val="TableParagraph"/>
              <w:rPr>
                <w:rFonts w:ascii="Times New Roman"/>
                <w:sz w:val="20"/>
              </w:rPr>
            </w:pPr>
          </w:p>
        </w:tc>
      </w:tr>
      <w:tr>
        <w:trPr>
          <w:trHeight w:val="551" w:hRule="atLeast"/>
        </w:trPr>
        <w:tc>
          <w:tcPr>
            <w:tcW w:w="1080" w:type="dxa"/>
          </w:tcPr>
          <w:p>
            <w:pPr>
              <w:pStyle w:val="TableParagraph"/>
              <w:spacing w:line="271" w:lineRule="exact"/>
              <w:ind w:right="198"/>
              <w:jc w:val="right"/>
              <w:rPr>
                <w:sz w:val="24"/>
              </w:rPr>
            </w:pPr>
            <w:r>
              <w:rPr>
                <w:sz w:val="24"/>
              </w:rPr>
              <w:t>OR610</w:t>
            </w:r>
          </w:p>
        </w:tc>
        <w:tc>
          <w:tcPr>
            <w:tcW w:w="1800" w:type="dxa"/>
          </w:tcPr>
          <w:p>
            <w:pPr>
              <w:pStyle w:val="TableParagraph"/>
              <w:spacing w:line="271" w:lineRule="exact"/>
              <w:ind w:left="107"/>
              <w:rPr>
                <w:sz w:val="24"/>
              </w:rPr>
            </w:pPr>
            <w:r>
              <w:rPr>
                <w:sz w:val="24"/>
              </w:rPr>
              <w:t>Sidwalter</w:t>
            </w:r>
          </w:p>
        </w:tc>
        <w:tc>
          <w:tcPr>
            <w:tcW w:w="1080" w:type="dxa"/>
          </w:tcPr>
          <w:p>
            <w:pPr>
              <w:pStyle w:val="TableParagraph"/>
              <w:spacing w:line="271" w:lineRule="exact"/>
              <w:ind w:left="107"/>
              <w:rPr>
                <w:sz w:val="24"/>
              </w:rPr>
            </w:pPr>
            <w:r>
              <w:rPr>
                <w:sz w:val="24"/>
              </w:rPr>
              <w:t>350909</w:t>
            </w:r>
          </w:p>
        </w:tc>
        <w:tc>
          <w:tcPr>
            <w:tcW w:w="1080" w:type="dxa"/>
          </w:tcPr>
          <w:p>
            <w:pPr>
              <w:pStyle w:val="TableParagraph"/>
              <w:spacing w:line="271" w:lineRule="exact"/>
              <w:ind w:left="107"/>
              <w:rPr>
                <w:sz w:val="24"/>
              </w:rPr>
            </w:pPr>
            <w:r>
              <w:rPr>
                <w:sz w:val="24"/>
              </w:rPr>
              <w:t>Manual</w:t>
            </w:r>
          </w:p>
        </w:tc>
        <w:tc>
          <w:tcPr>
            <w:tcW w:w="1068" w:type="dxa"/>
          </w:tcPr>
          <w:p>
            <w:pPr>
              <w:pStyle w:val="TableParagraph"/>
              <w:spacing w:line="271" w:lineRule="exact"/>
              <w:ind w:left="107"/>
              <w:rPr>
                <w:sz w:val="24"/>
              </w:rPr>
            </w:pPr>
            <w:r>
              <w:rPr>
                <w:sz w:val="24"/>
              </w:rPr>
              <w:t>BIA</w:t>
            </w:r>
          </w:p>
        </w:tc>
        <w:tc>
          <w:tcPr>
            <w:tcW w:w="1169" w:type="dxa"/>
          </w:tcPr>
          <w:p>
            <w:pPr>
              <w:pStyle w:val="TableParagraph"/>
              <w:spacing w:line="271" w:lineRule="exact"/>
              <w:ind w:left="105"/>
              <w:rPr>
                <w:sz w:val="24"/>
              </w:rPr>
            </w:pPr>
            <w:r>
              <w:rPr>
                <w:sz w:val="24"/>
              </w:rPr>
              <w:t>44.925</w:t>
            </w:r>
          </w:p>
        </w:tc>
        <w:tc>
          <w:tcPr>
            <w:tcW w:w="1260" w:type="dxa"/>
          </w:tcPr>
          <w:p>
            <w:pPr>
              <w:pStyle w:val="TableParagraph"/>
              <w:spacing w:line="271" w:lineRule="exact"/>
              <w:ind w:left="89" w:right="119"/>
              <w:jc w:val="center"/>
              <w:rPr>
                <w:sz w:val="24"/>
              </w:rPr>
            </w:pPr>
            <w:r>
              <w:rPr>
                <w:sz w:val="24"/>
              </w:rPr>
              <w:t>121.5347</w:t>
            </w:r>
          </w:p>
        </w:tc>
        <w:tc>
          <w:tcPr>
            <w:tcW w:w="900" w:type="dxa"/>
          </w:tcPr>
          <w:p>
            <w:pPr>
              <w:pStyle w:val="TableParagraph"/>
              <w:spacing w:line="271" w:lineRule="exact"/>
              <w:ind w:right="142"/>
              <w:jc w:val="right"/>
              <w:rPr>
                <w:sz w:val="24"/>
              </w:rPr>
            </w:pPr>
            <w:r>
              <w:rPr>
                <w:w w:val="95"/>
                <w:sz w:val="24"/>
              </w:rPr>
              <w:t>3600</w:t>
            </w:r>
          </w:p>
        </w:tc>
        <w:tc>
          <w:tcPr>
            <w:tcW w:w="1363" w:type="dxa"/>
          </w:tcPr>
          <w:p>
            <w:pPr>
              <w:pStyle w:val="TableParagraph"/>
              <w:spacing w:line="276" w:lineRule="exact"/>
              <w:ind w:left="107" w:right="679"/>
              <w:rPr>
                <w:sz w:val="24"/>
              </w:rPr>
            </w:pPr>
            <w:r>
              <w:rPr>
                <w:sz w:val="24"/>
              </w:rPr>
              <w:t>Butte top-</w:t>
            </w:r>
          </w:p>
        </w:tc>
      </w:tr>
      <w:tr>
        <w:trPr>
          <w:trHeight w:val="556" w:hRule="atLeast"/>
        </w:trPr>
        <w:tc>
          <w:tcPr>
            <w:tcW w:w="1080" w:type="dxa"/>
          </w:tcPr>
          <w:p>
            <w:pPr>
              <w:pStyle w:val="TableParagraph"/>
              <w:spacing w:line="273" w:lineRule="exact"/>
              <w:ind w:right="198"/>
              <w:jc w:val="right"/>
              <w:rPr>
                <w:sz w:val="24"/>
              </w:rPr>
            </w:pPr>
            <w:r>
              <w:rPr>
                <w:sz w:val="24"/>
              </w:rPr>
              <w:t>OR610</w:t>
            </w:r>
          </w:p>
        </w:tc>
        <w:tc>
          <w:tcPr>
            <w:tcW w:w="1800" w:type="dxa"/>
          </w:tcPr>
          <w:p>
            <w:pPr>
              <w:pStyle w:val="TableParagraph"/>
              <w:spacing w:line="273" w:lineRule="exact"/>
              <w:ind w:left="107"/>
              <w:rPr>
                <w:sz w:val="24"/>
              </w:rPr>
            </w:pPr>
            <w:r>
              <w:rPr>
                <w:sz w:val="24"/>
              </w:rPr>
              <w:t>Mt Wilson</w:t>
            </w:r>
          </w:p>
        </w:tc>
        <w:tc>
          <w:tcPr>
            <w:tcW w:w="1080" w:type="dxa"/>
          </w:tcPr>
          <w:p>
            <w:pPr>
              <w:pStyle w:val="TableParagraph"/>
              <w:spacing w:line="273" w:lineRule="exact"/>
              <w:ind w:left="107"/>
              <w:rPr>
                <w:sz w:val="24"/>
              </w:rPr>
            </w:pPr>
            <w:r>
              <w:rPr>
                <w:sz w:val="24"/>
              </w:rPr>
              <w:t>350916</w:t>
            </w:r>
          </w:p>
        </w:tc>
        <w:tc>
          <w:tcPr>
            <w:tcW w:w="1080" w:type="dxa"/>
          </w:tcPr>
          <w:p>
            <w:pPr>
              <w:pStyle w:val="TableParagraph"/>
              <w:spacing w:line="273" w:lineRule="exact"/>
              <w:ind w:left="107"/>
              <w:rPr>
                <w:sz w:val="24"/>
              </w:rPr>
            </w:pPr>
            <w:r>
              <w:rPr>
                <w:sz w:val="24"/>
              </w:rPr>
              <w:t>RAWS</w:t>
            </w:r>
          </w:p>
        </w:tc>
        <w:tc>
          <w:tcPr>
            <w:tcW w:w="1068" w:type="dxa"/>
          </w:tcPr>
          <w:p>
            <w:pPr>
              <w:pStyle w:val="TableParagraph"/>
              <w:spacing w:line="273" w:lineRule="exact"/>
              <w:ind w:left="107"/>
              <w:rPr>
                <w:sz w:val="24"/>
              </w:rPr>
            </w:pPr>
            <w:r>
              <w:rPr>
                <w:sz w:val="24"/>
              </w:rPr>
              <w:t>BIA</w:t>
            </w:r>
          </w:p>
        </w:tc>
        <w:tc>
          <w:tcPr>
            <w:tcW w:w="1169" w:type="dxa"/>
          </w:tcPr>
          <w:p>
            <w:pPr>
              <w:pStyle w:val="TableParagraph"/>
              <w:spacing w:line="273" w:lineRule="exact"/>
              <w:ind w:left="105"/>
              <w:rPr>
                <w:sz w:val="24"/>
              </w:rPr>
            </w:pPr>
            <w:r>
              <w:rPr>
                <w:sz w:val="24"/>
              </w:rPr>
              <w:t>45.0397</w:t>
            </w:r>
          </w:p>
        </w:tc>
        <w:tc>
          <w:tcPr>
            <w:tcW w:w="1260" w:type="dxa"/>
          </w:tcPr>
          <w:p>
            <w:pPr>
              <w:pStyle w:val="TableParagraph"/>
              <w:spacing w:line="273" w:lineRule="exact"/>
              <w:ind w:left="89" w:right="119"/>
              <w:jc w:val="center"/>
              <w:rPr>
                <w:sz w:val="24"/>
              </w:rPr>
            </w:pPr>
            <w:r>
              <w:rPr>
                <w:sz w:val="24"/>
              </w:rPr>
              <w:t>121.6736</w:t>
            </w:r>
          </w:p>
        </w:tc>
        <w:tc>
          <w:tcPr>
            <w:tcW w:w="900" w:type="dxa"/>
          </w:tcPr>
          <w:p>
            <w:pPr>
              <w:pStyle w:val="TableParagraph"/>
              <w:spacing w:line="273" w:lineRule="exact"/>
              <w:ind w:right="142"/>
              <w:jc w:val="right"/>
              <w:rPr>
                <w:sz w:val="24"/>
              </w:rPr>
            </w:pPr>
            <w:r>
              <w:rPr>
                <w:w w:val="95"/>
                <w:sz w:val="24"/>
              </w:rPr>
              <w:t>3780</w:t>
            </w:r>
          </w:p>
        </w:tc>
        <w:tc>
          <w:tcPr>
            <w:tcW w:w="1363" w:type="dxa"/>
          </w:tcPr>
          <w:p>
            <w:pPr>
              <w:pStyle w:val="TableParagraph"/>
              <w:spacing w:line="276" w:lineRule="exact" w:before="2"/>
              <w:ind w:left="107" w:right="409"/>
              <w:rPr>
                <w:sz w:val="24"/>
              </w:rPr>
            </w:pPr>
            <w:r>
              <w:rPr>
                <w:sz w:val="24"/>
              </w:rPr>
              <w:t>Midslo pe- SW</w:t>
            </w:r>
          </w:p>
        </w:tc>
      </w:tr>
      <w:tr>
        <w:trPr>
          <w:trHeight w:val="551" w:hRule="atLeast"/>
        </w:trPr>
        <w:tc>
          <w:tcPr>
            <w:tcW w:w="1080" w:type="dxa"/>
          </w:tcPr>
          <w:p>
            <w:pPr>
              <w:pStyle w:val="TableParagraph"/>
              <w:spacing w:line="271" w:lineRule="exact"/>
              <w:ind w:right="198"/>
              <w:jc w:val="right"/>
              <w:rPr>
                <w:sz w:val="24"/>
              </w:rPr>
            </w:pPr>
            <w:r>
              <w:rPr>
                <w:sz w:val="24"/>
              </w:rPr>
              <w:t>OR610</w:t>
            </w:r>
          </w:p>
        </w:tc>
        <w:tc>
          <w:tcPr>
            <w:tcW w:w="1800" w:type="dxa"/>
          </w:tcPr>
          <w:p>
            <w:pPr>
              <w:pStyle w:val="TableParagraph"/>
              <w:spacing w:line="271" w:lineRule="exact"/>
              <w:ind w:left="107"/>
              <w:rPr>
                <w:sz w:val="24"/>
              </w:rPr>
            </w:pPr>
            <w:r>
              <w:rPr>
                <w:sz w:val="24"/>
              </w:rPr>
              <w:t>Mutton Mtn</w:t>
            </w:r>
          </w:p>
        </w:tc>
        <w:tc>
          <w:tcPr>
            <w:tcW w:w="1080" w:type="dxa"/>
          </w:tcPr>
          <w:p>
            <w:pPr>
              <w:pStyle w:val="TableParagraph"/>
              <w:spacing w:line="271" w:lineRule="exact"/>
              <w:ind w:left="107"/>
              <w:rPr>
                <w:sz w:val="24"/>
              </w:rPr>
            </w:pPr>
            <w:r>
              <w:rPr>
                <w:sz w:val="24"/>
              </w:rPr>
              <w:t>350917</w:t>
            </w:r>
          </w:p>
        </w:tc>
        <w:tc>
          <w:tcPr>
            <w:tcW w:w="1080" w:type="dxa"/>
          </w:tcPr>
          <w:p>
            <w:pPr>
              <w:pStyle w:val="TableParagraph"/>
              <w:spacing w:line="271" w:lineRule="exact"/>
              <w:ind w:left="107"/>
              <w:rPr>
                <w:sz w:val="24"/>
              </w:rPr>
            </w:pPr>
            <w:r>
              <w:rPr>
                <w:sz w:val="24"/>
              </w:rPr>
              <w:t>RAWS</w:t>
            </w:r>
          </w:p>
        </w:tc>
        <w:tc>
          <w:tcPr>
            <w:tcW w:w="1068" w:type="dxa"/>
          </w:tcPr>
          <w:p>
            <w:pPr>
              <w:pStyle w:val="TableParagraph"/>
              <w:spacing w:line="271" w:lineRule="exact"/>
              <w:ind w:left="107"/>
              <w:rPr>
                <w:sz w:val="24"/>
              </w:rPr>
            </w:pPr>
            <w:r>
              <w:rPr>
                <w:sz w:val="24"/>
              </w:rPr>
              <w:t>BIA</w:t>
            </w:r>
          </w:p>
        </w:tc>
        <w:tc>
          <w:tcPr>
            <w:tcW w:w="1169" w:type="dxa"/>
          </w:tcPr>
          <w:p>
            <w:pPr>
              <w:pStyle w:val="TableParagraph"/>
              <w:spacing w:line="271" w:lineRule="exact"/>
              <w:ind w:left="105"/>
              <w:rPr>
                <w:sz w:val="24"/>
              </w:rPr>
            </w:pPr>
            <w:r>
              <w:rPr>
                <w:sz w:val="24"/>
              </w:rPr>
              <w:t>44.9255</w:t>
            </w:r>
          </w:p>
        </w:tc>
        <w:tc>
          <w:tcPr>
            <w:tcW w:w="1260" w:type="dxa"/>
          </w:tcPr>
          <w:p>
            <w:pPr>
              <w:pStyle w:val="TableParagraph"/>
              <w:spacing w:line="271" w:lineRule="exact"/>
              <w:ind w:left="89" w:right="119"/>
              <w:jc w:val="center"/>
              <w:rPr>
                <w:sz w:val="24"/>
              </w:rPr>
            </w:pPr>
            <w:r>
              <w:rPr>
                <w:sz w:val="24"/>
              </w:rPr>
              <w:t>121.1978</w:t>
            </w:r>
          </w:p>
        </w:tc>
        <w:tc>
          <w:tcPr>
            <w:tcW w:w="900" w:type="dxa"/>
          </w:tcPr>
          <w:p>
            <w:pPr>
              <w:pStyle w:val="TableParagraph"/>
              <w:spacing w:line="271" w:lineRule="exact"/>
              <w:ind w:right="142"/>
              <w:jc w:val="right"/>
              <w:rPr>
                <w:sz w:val="24"/>
              </w:rPr>
            </w:pPr>
            <w:r>
              <w:rPr>
                <w:w w:val="95"/>
                <w:sz w:val="24"/>
              </w:rPr>
              <w:t>4100</w:t>
            </w:r>
          </w:p>
        </w:tc>
        <w:tc>
          <w:tcPr>
            <w:tcW w:w="1363" w:type="dxa"/>
          </w:tcPr>
          <w:p>
            <w:pPr>
              <w:pStyle w:val="TableParagraph"/>
              <w:spacing w:line="271" w:lineRule="exact"/>
              <w:ind w:left="107"/>
              <w:rPr>
                <w:sz w:val="24"/>
              </w:rPr>
            </w:pPr>
            <w:r>
              <w:rPr>
                <w:sz w:val="24"/>
              </w:rPr>
              <w:t>S-N Ridge</w:t>
            </w:r>
          </w:p>
        </w:tc>
      </w:tr>
      <w:tr>
        <w:trPr>
          <w:trHeight w:val="551" w:hRule="atLeast"/>
        </w:trPr>
        <w:tc>
          <w:tcPr>
            <w:tcW w:w="1080" w:type="dxa"/>
          </w:tcPr>
          <w:p>
            <w:pPr>
              <w:pStyle w:val="TableParagraph"/>
              <w:spacing w:line="271" w:lineRule="exact"/>
              <w:ind w:right="198"/>
              <w:jc w:val="right"/>
              <w:rPr>
                <w:sz w:val="24"/>
              </w:rPr>
            </w:pPr>
            <w:r>
              <w:rPr>
                <w:sz w:val="24"/>
              </w:rPr>
              <w:t>OR610</w:t>
            </w:r>
          </w:p>
        </w:tc>
        <w:tc>
          <w:tcPr>
            <w:tcW w:w="1800" w:type="dxa"/>
          </w:tcPr>
          <w:p>
            <w:pPr>
              <w:pStyle w:val="TableParagraph"/>
              <w:spacing w:line="271" w:lineRule="exact"/>
              <w:ind w:left="107"/>
              <w:rPr>
                <w:sz w:val="24"/>
              </w:rPr>
            </w:pPr>
            <w:r>
              <w:rPr>
                <w:sz w:val="24"/>
              </w:rPr>
              <w:t>He He 1</w:t>
            </w:r>
          </w:p>
        </w:tc>
        <w:tc>
          <w:tcPr>
            <w:tcW w:w="1080" w:type="dxa"/>
          </w:tcPr>
          <w:p>
            <w:pPr>
              <w:pStyle w:val="TableParagraph"/>
              <w:spacing w:line="271" w:lineRule="exact"/>
              <w:ind w:left="107"/>
              <w:rPr>
                <w:sz w:val="24"/>
              </w:rPr>
            </w:pPr>
            <w:r>
              <w:rPr>
                <w:sz w:val="24"/>
              </w:rPr>
              <w:t>350920</w:t>
            </w:r>
          </w:p>
        </w:tc>
        <w:tc>
          <w:tcPr>
            <w:tcW w:w="1080" w:type="dxa"/>
          </w:tcPr>
          <w:p>
            <w:pPr>
              <w:pStyle w:val="TableParagraph"/>
              <w:spacing w:line="271" w:lineRule="exact"/>
              <w:ind w:left="107"/>
              <w:rPr>
                <w:sz w:val="24"/>
              </w:rPr>
            </w:pPr>
            <w:r>
              <w:rPr>
                <w:sz w:val="24"/>
              </w:rPr>
              <w:t>RAWS</w:t>
            </w:r>
          </w:p>
        </w:tc>
        <w:tc>
          <w:tcPr>
            <w:tcW w:w="1068" w:type="dxa"/>
          </w:tcPr>
          <w:p>
            <w:pPr>
              <w:pStyle w:val="TableParagraph"/>
              <w:spacing w:line="271" w:lineRule="exact"/>
              <w:ind w:left="107"/>
              <w:rPr>
                <w:sz w:val="24"/>
              </w:rPr>
            </w:pPr>
            <w:r>
              <w:rPr>
                <w:sz w:val="24"/>
              </w:rPr>
              <w:t>BIA</w:t>
            </w:r>
          </w:p>
        </w:tc>
        <w:tc>
          <w:tcPr>
            <w:tcW w:w="1169" w:type="dxa"/>
          </w:tcPr>
          <w:p>
            <w:pPr>
              <w:pStyle w:val="TableParagraph"/>
              <w:spacing w:line="271" w:lineRule="exact"/>
              <w:ind w:left="105"/>
              <w:rPr>
                <w:sz w:val="24"/>
              </w:rPr>
            </w:pPr>
            <w:r>
              <w:rPr>
                <w:sz w:val="24"/>
              </w:rPr>
              <w:t>44.9559</w:t>
            </w:r>
          </w:p>
        </w:tc>
        <w:tc>
          <w:tcPr>
            <w:tcW w:w="1260" w:type="dxa"/>
          </w:tcPr>
          <w:p>
            <w:pPr>
              <w:pStyle w:val="TableParagraph"/>
              <w:spacing w:line="271" w:lineRule="exact"/>
              <w:ind w:left="89" w:right="119"/>
              <w:jc w:val="center"/>
              <w:rPr>
                <w:sz w:val="24"/>
              </w:rPr>
            </w:pPr>
            <w:r>
              <w:rPr>
                <w:sz w:val="24"/>
              </w:rPr>
              <w:t>121.4992</w:t>
            </w:r>
          </w:p>
        </w:tc>
        <w:tc>
          <w:tcPr>
            <w:tcW w:w="900" w:type="dxa"/>
          </w:tcPr>
          <w:p>
            <w:pPr>
              <w:pStyle w:val="TableParagraph"/>
              <w:spacing w:line="271" w:lineRule="exact"/>
              <w:ind w:right="142"/>
              <w:jc w:val="right"/>
              <w:rPr>
                <w:sz w:val="24"/>
              </w:rPr>
            </w:pPr>
            <w:r>
              <w:rPr>
                <w:w w:val="95"/>
                <w:sz w:val="24"/>
              </w:rPr>
              <w:t>2689</w:t>
            </w:r>
          </w:p>
        </w:tc>
        <w:tc>
          <w:tcPr>
            <w:tcW w:w="1363" w:type="dxa"/>
          </w:tcPr>
          <w:p>
            <w:pPr>
              <w:pStyle w:val="TableParagraph"/>
              <w:spacing w:line="271" w:lineRule="exact"/>
              <w:ind w:left="107"/>
              <w:rPr>
                <w:sz w:val="24"/>
              </w:rPr>
            </w:pPr>
            <w:r>
              <w:rPr>
                <w:sz w:val="24"/>
              </w:rPr>
              <w:t>Flat</w:t>
            </w:r>
          </w:p>
        </w:tc>
      </w:tr>
      <w:tr>
        <w:trPr>
          <w:trHeight w:val="553" w:hRule="atLeast"/>
        </w:trPr>
        <w:tc>
          <w:tcPr>
            <w:tcW w:w="1080" w:type="dxa"/>
          </w:tcPr>
          <w:p>
            <w:pPr>
              <w:pStyle w:val="TableParagraph"/>
              <w:spacing w:line="271" w:lineRule="exact"/>
              <w:ind w:right="198"/>
              <w:jc w:val="right"/>
              <w:rPr>
                <w:sz w:val="24"/>
              </w:rPr>
            </w:pPr>
            <w:r>
              <w:rPr>
                <w:sz w:val="24"/>
              </w:rPr>
              <w:t>OR610</w:t>
            </w:r>
          </w:p>
        </w:tc>
        <w:tc>
          <w:tcPr>
            <w:tcW w:w="1800" w:type="dxa"/>
          </w:tcPr>
          <w:p>
            <w:pPr>
              <w:pStyle w:val="TableParagraph"/>
              <w:spacing w:line="271" w:lineRule="exact"/>
              <w:ind w:left="107"/>
              <w:rPr>
                <w:sz w:val="24"/>
              </w:rPr>
            </w:pPr>
            <w:r>
              <w:rPr>
                <w:sz w:val="24"/>
              </w:rPr>
              <w:t>Shitike Butte</w:t>
            </w:r>
          </w:p>
        </w:tc>
        <w:tc>
          <w:tcPr>
            <w:tcW w:w="1080" w:type="dxa"/>
          </w:tcPr>
          <w:p>
            <w:pPr>
              <w:pStyle w:val="TableParagraph"/>
              <w:spacing w:line="271" w:lineRule="exact"/>
              <w:ind w:left="107"/>
              <w:rPr>
                <w:sz w:val="24"/>
              </w:rPr>
            </w:pPr>
            <w:r>
              <w:rPr>
                <w:sz w:val="24"/>
              </w:rPr>
              <w:t>352102</w:t>
            </w:r>
          </w:p>
        </w:tc>
        <w:tc>
          <w:tcPr>
            <w:tcW w:w="1080" w:type="dxa"/>
          </w:tcPr>
          <w:p>
            <w:pPr>
              <w:pStyle w:val="TableParagraph"/>
              <w:spacing w:line="271" w:lineRule="exact"/>
              <w:ind w:left="107"/>
              <w:rPr>
                <w:sz w:val="24"/>
              </w:rPr>
            </w:pPr>
            <w:r>
              <w:rPr>
                <w:sz w:val="24"/>
              </w:rPr>
              <w:t>Manual</w:t>
            </w:r>
          </w:p>
        </w:tc>
        <w:tc>
          <w:tcPr>
            <w:tcW w:w="1068" w:type="dxa"/>
          </w:tcPr>
          <w:p>
            <w:pPr>
              <w:pStyle w:val="TableParagraph"/>
              <w:spacing w:line="271" w:lineRule="exact"/>
              <w:ind w:left="107"/>
              <w:rPr>
                <w:sz w:val="24"/>
              </w:rPr>
            </w:pPr>
            <w:r>
              <w:rPr>
                <w:sz w:val="24"/>
              </w:rPr>
              <w:t>BIA</w:t>
            </w:r>
          </w:p>
        </w:tc>
        <w:tc>
          <w:tcPr>
            <w:tcW w:w="1169" w:type="dxa"/>
          </w:tcPr>
          <w:p>
            <w:pPr>
              <w:pStyle w:val="TableParagraph"/>
              <w:spacing w:line="271" w:lineRule="exact"/>
              <w:ind w:left="105"/>
              <w:rPr>
                <w:sz w:val="24"/>
              </w:rPr>
            </w:pPr>
            <w:r>
              <w:rPr>
                <w:sz w:val="24"/>
              </w:rPr>
              <w:t>44.7449</w:t>
            </w:r>
          </w:p>
        </w:tc>
        <w:tc>
          <w:tcPr>
            <w:tcW w:w="1260" w:type="dxa"/>
          </w:tcPr>
          <w:p>
            <w:pPr>
              <w:pStyle w:val="TableParagraph"/>
              <w:spacing w:line="271" w:lineRule="exact"/>
              <w:ind w:left="89" w:right="119"/>
              <w:jc w:val="center"/>
              <w:rPr>
                <w:sz w:val="24"/>
              </w:rPr>
            </w:pPr>
            <w:r>
              <w:rPr>
                <w:sz w:val="24"/>
              </w:rPr>
              <w:t>121.6106</w:t>
            </w:r>
          </w:p>
        </w:tc>
        <w:tc>
          <w:tcPr>
            <w:tcW w:w="900" w:type="dxa"/>
          </w:tcPr>
          <w:p>
            <w:pPr>
              <w:pStyle w:val="TableParagraph"/>
              <w:spacing w:line="271" w:lineRule="exact"/>
              <w:ind w:right="142"/>
              <w:jc w:val="right"/>
              <w:rPr>
                <w:sz w:val="24"/>
              </w:rPr>
            </w:pPr>
            <w:r>
              <w:rPr>
                <w:w w:val="95"/>
                <w:sz w:val="24"/>
              </w:rPr>
              <w:t>5000</w:t>
            </w:r>
          </w:p>
        </w:tc>
        <w:tc>
          <w:tcPr>
            <w:tcW w:w="1363" w:type="dxa"/>
          </w:tcPr>
          <w:p>
            <w:pPr>
              <w:pStyle w:val="TableParagraph"/>
              <w:spacing w:line="271" w:lineRule="exact"/>
              <w:ind w:left="107"/>
              <w:rPr>
                <w:sz w:val="24"/>
              </w:rPr>
            </w:pPr>
            <w:r>
              <w:rPr>
                <w:sz w:val="24"/>
              </w:rPr>
              <w:t>Butte top</w:t>
            </w:r>
          </w:p>
        </w:tc>
      </w:tr>
    </w:tbl>
    <w:p>
      <w:pPr>
        <w:spacing w:after="0" w:line="271" w:lineRule="exact"/>
        <w:rPr>
          <w:sz w:val="24"/>
        </w:rPr>
        <w:sectPr>
          <w:pgSz w:w="12240" w:h="15840"/>
          <w:pgMar w:header="0" w:footer="968" w:top="1360" w:bottom="1240" w:left="340" w:right="620"/>
        </w:sect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1800"/>
        <w:gridCol w:w="1080"/>
        <w:gridCol w:w="1080"/>
        <w:gridCol w:w="977"/>
        <w:gridCol w:w="1183"/>
        <w:gridCol w:w="1260"/>
        <w:gridCol w:w="888"/>
        <w:gridCol w:w="1452"/>
      </w:tblGrid>
      <w:tr>
        <w:trPr>
          <w:trHeight w:val="551" w:hRule="atLeast"/>
        </w:trPr>
        <w:tc>
          <w:tcPr>
            <w:tcW w:w="1080" w:type="dxa"/>
          </w:tcPr>
          <w:p>
            <w:pPr>
              <w:pStyle w:val="TableParagraph"/>
              <w:spacing w:line="271" w:lineRule="exact"/>
              <w:ind w:left="107"/>
              <w:rPr>
                <w:sz w:val="24"/>
              </w:rPr>
            </w:pPr>
            <w:r>
              <w:rPr>
                <w:sz w:val="24"/>
              </w:rPr>
              <w:t>OR610</w:t>
            </w:r>
          </w:p>
        </w:tc>
        <w:tc>
          <w:tcPr>
            <w:tcW w:w="1800" w:type="dxa"/>
          </w:tcPr>
          <w:p>
            <w:pPr>
              <w:pStyle w:val="TableParagraph"/>
              <w:spacing w:line="271" w:lineRule="exact"/>
              <w:ind w:left="107"/>
              <w:rPr>
                <w:sz w:val="24"/>
              </w:rPr>
            </w:pPr>
            <w:r>
              <w:rPr>
                <w:sz w:val="24"/>
              </w:rPr>
              <w:t>Eagle Butte</w:t>
            </w:r>
          </w:p>
        </w:tc>
        <w:tc>
          <w:tcPr>
            <w:tcW w:w="1080" w:type="dxa"/>
          </w:tcPr>
          <w:p>
            <w:pPr>
              <w:pStyle w:val="TableParagraph"/>
              <w:spacing w:line="271" w:lineRule="exact"/>
              <w:ind w:left="107"/>
              <w:rPr>
                <w:sz w:val="24"/>
              </w:rPr>
            </w:pPr>
            <w:r>
              <w:rPr>
                <w:sz w:val="24"/>
              </w:rPr>
              <w:t>352106</w:t>
            </w:r>
          </w:p>
        </w:tc>
        <w:tc>
          <w:tcPr>
            <w:tcW w:w="1080" w:type="dxa"/>
          </w:tcPr>
          <w:p>
            <w:pPr>
              <w:pStyle w:val="TableParagraph"/>
              <w:spacing w:line="271" w:lineRule="exact"/>
              <w:ind w:left="110"/>
              <w:rPr>
                <w:sz w:val="24"/>
              </w:rPr>
            </w:pPr>
            <w:r>
              <w:rPr>
                <w:sz w:val="24"/>
              </w:rPr>
              <w:t>Manual</w:t>
            </w:r>
          </w:p>
        </w:tc>
        <w:tc>
          <w:tcPr>
            <w:tcW w:w="977" w:type="dxa"/>
          </w:tcPr>
          <w:p>
            <w:pPr>
              <w:pStyle w:val="TableParagraph"/>
              <w:spacing w:line="271" w:lineRule="exact"/>
              <w:ind w:left="107"/>
              <w:rPr>
                <w:sz w:val="24"/>
              </w:rPr>
            </w:pPr>
            <w:r>
              <w:rPr>
                <w:sz w:val="24"/>
              </w:rPr>
              <w:t>BIA</w:t>
            </w:r>
          </w:p>
        </w:tc>
        <w:tc>
          <w:tcPr>
            <w:tcW w:w="1183" w:type="dxa"/>
          </w:tcPr>
          <w:p>
            <w:pPr>
              <w:pStyle w:val="TableParagraph"/>
              <w:spacing w:line="271" w:lineRule="exact"/>
              <w:ind w:left="105"/>
              <w:rPr>
                <w:sz w:val="24"/>
              </w:rPr>
            </w:pPr>
            <w:r>
              <w:rPr>
                <w:sz w:val="24"/>
              </w:rPr>
              <w:t>44.8399</w:t>
            </w:r>
          </w:p>
        </w:tc>
        <w:tc>
          <w:tcPr>
            <w:tcW w:w="1260" w:type="dxa"/>
          </w:tcPr>
          <w:p>
            <w:pPr>
              <w:pStyle w:val="TableParagraph"/>
              <w:spacing w:line="271" w:lineRule="exact"/>
              <w:ind w:left="107"/>
              <w:rPr>
                <w:sz w:val="24"/>
              </w:rPr>
            </w:pPr>
            <w:r>
              <w:rPr>
                <w:sz w:val="24"/>
              </w:rPr>
              <w:t>121.2338</w:t>
            </w:r>
          </w:p>
        </w:tc>
        <w:tc>
          <w:tcPr>
            <w:tcW w:w="888" w:type="dxa"/>
          </w:tcPr>
          <w:p>
            <w:pPr>
              <w:pStyle w:val="TableParagraph"/>
              <w:spacing w:line="271" w:lineRule="exact"/>
              <w:ind w:left="211"/>
              <w:rPr>
                <w:sz w:val="24"/>
              </w:rPr>
            </w:pPr>
            <w:r>
              <w:rPr>
                <w:sz w:val="24"/>
              </w:rPr>
              <w:t>3100</w:t>
            </w:r>
          </w:p>
        </w:tc>
        <w:tc>
          <w:tcPr>
            <w:tcW w:w="1452" w:type="dxa"/>
          </w:tcPr>
          <w:p>
            <w:pPr>
              <w:pStyle w:val="TableParagraph"/>
              <w:spacing w:line="271" w:lineRule="exact"/>
              <w:ind w:left="107"/>
              <w:rPr>
                <w:sz w:val="24"/>
              </w:rPr>
            </w:pPr>
            <w:r>
              <w:rPr>
                <w:sz w:val="24"/>
              </w:rPr>
              <w:t>Butte top</w:t>
            </w:r>
          </w:p>
        </w:tc>
      </w:tr>
      <w:tr>
        <w:trPr>
          <w:trHeight w:val="551" w:hRule="atLeast"/>
        </w:trPr>
        <w:tc>
          <w:tcPr>
            <w:tcW w:w="1080" w:type="dxa"/>
          </w:tcPr>
          <w:p>
            <w:pPr>
              <w:pStyle w:val="TableParagraph"/>
              <w:spacing w:line="271" w:lineRule="exact"/>
              <w:ind w:left="107"/>
              <w:rPr>
                <w:sz w:val="24"/>
              </w:rPr>
            </w:pPr>
            <w:r>
              <w:rPr>
                <w:sz w:val="24"/>
              </w:rPr>
              <w:t>OR610</w:t>
            </w:r>
          </w:p>
        </w:tc>
        <w:tc>
          <w:tcPr>
            <w:tcW w:w="1800" w:type="dxa"/>
          </w:tcPr>
          <w:p>
            <w:pPr>
              <w:pStyle w:val="TableParagraph"/>
              <w:spacing w:line="271" w:lineRule="exact"/>
              <w:ind w:left="107"/>
              <w:rPr>
                <w:sz w:val="24"/>
              </w:rPr>
            </w:pPr>
            <w:r>
              <w:rPr>
                <w:sz w:val="24"/>
              </w:rPr>
              <w:t>Warm Springs</w:t>
            </w:r>
          </w:p>
        </w:tc>
        <w:tc>
          <w:tcPr>
            <w:tcW w:w="1080" w:type="dxa"/>
          </w:tcPr>
          <w:p>
            <w:pPr>
              <w:pStyle w:val="TableParagraph"/>
              <w:spacing w:line="271" w:lineRule="exact"/>
              <w:ind w:left="107"/>
              <w:rPr>
                <w:sz w:val="24"/>
              </w:rPr>
            </w:pPr>
            <w:r>
              <w:rPr>
                <w:sz w:val="24"/>
              </w:rPr>
              <w:t>352108</w:t>
            </w:r>
          </w:p>
        </w:tc>
        <w:tc>
          <w:tcPr>
            <w:tcW w:w="1080" w:type="dxa"/>
          </w:tcPr>
          <w:p>
            <w:pPr>
              <w:pStyle w:val="TableParagraph"/>
              <w:spacing w:line="271" w:lineRule="exact"/>
              <w:ind w:left="110"/>
              <w:rPr>
                <w:sz w:val="24"/>
              </w:rPr>
            </w:pPr>
            <w:r>
              <w:rPr>
                <w:sz w:val="24"/>
              </w:rPr>
              <w:t>RAWS</w:t>
            </w:r>
          </w:p>
        </w:tc>
        <w:tc>
          <w:tcPr>
            <w:tcW w:w="977" w:type="dxa"/>
          </w:tcPr>
          <w:p>
            <w:pPr>
              <w:pStyle w:val="TableParagraph"/>
              <w:spacing w:line="271" w:lineRule="exact"/>
              <w:ind w:left="107"/>
              <w:rPr>
                <w:sz w:val="24"/>
              </w:rPr>
            </w:pPr>
            <w:r>
              <w:rPr>
                <w:sz w:val="24"/>
              </w:rPr>
              <w:t>BIA</w:t>
            </w:r>
          </w:p>
        </w:tc>
        <w:tc>
          <w:tcPr>
            <w:tcW w:w="1183" w:type="dxa"/>
          </w:tcPr>
          <w:p>
            <w:pPr>
              <w:pStyle w:val="TableParagraph"/>
              <w:spacing w:line="271" w:lineRule="exact"/>
              <w:ind w:left="105"/>
              <w:rPr>
                <w:sz w:val="24"/>
              </w:rPr>
            </w:pPr>
            <w:r>
              <w:rPr>
                <w:sz w:val="24"/>
              </w:rPr>
              <w:t>44.7750</w:t>
            </w:r>
          </w:p>
        </w:tc>
        <w:tc>
          <w:tcPr>
            <w:tcW w:w="1260" w:type="dxa"/>
          </w:tcPr>
          <w:p>
            <w:pPr>
              <w:pStyle w:val="TableParagraph"/>
              <w:spacing w:line="271" w:lineRule="exact"/>
              <w:ind w:left="107"/>
              <w:rPr>
                <w:sz w:val="24"/>
              </w:rPr>
            </w:pPr>
            <w:r>
              <w:rPr>
                <w:sz w:val="24"/>
              </w:rPr>
              <w:t>121.2541</w:t>
            </w:r>
          </w:p>
        </w:tc>
        <w:tc>
          <w:tcPr>
            <w:tcW w:w="888" w:type="dxa"/>
          </w:tcPr>
          <w:p>
            <w:pPr>
              <w:pStyle w:val="TableParagraph"/>
              <w:spacing w:line="271" w:lineRule="exact"/>
              <w:ind w:left="211"/>
              <w:rPr>
                <w:sz w:val="24"/>
              </w:rPr>
            </w:pPr>
            <w:r>
              <w:rPr>
                <w:sz w:val="24"/>
              </w:rPr>
              <w:t>1632</w:t>
            </w:r>
          </w:p>
        </w:tc>
        <w:tc>
          <w:tcPr>
            <w:tcW w:w="1452" w:type="dxa"/>
          </w:tcPr>
          <w:p>
            <w:pPr>
              <w:pStyle w:val="TableParagraph"/>
              <w:spacing w:line="271" w:lineRule="exact"/>
              <w:ind w:left="107"/>
              <w:rPr>
                <w:sz w:val="24"/>
              </w:rPr>
            </w:pPr>
            <w:r>
              <w:rPr>
                <w:sz w:val="24"/>
              </w:rPr>
              <w:t>Valley</w:t>
            </w:r>
          </w:p>
        </w:tc>
      </w:tr>
      <w:tr>
        <w:trPr>
          <w:trHeight w:val="553" w:hRule="atLeast"/>
        </w:trPr>
        <w:tc>
          <w:tcPr>
            <w:tcW w:w="1080" w:type="dxa"/>
          </w:tcPr>
          <w:p>
            <w:pPr>
              <w:pStyle w:val="TableParagraph"/>
              <w:spacing w:line="274" w:lineRule="exact"/>
              <w:ind w:left="107"/>
              <w:rPr>
                <w:sz w:val="24"/>
              </w:rPr>
            </w:pPr>
            <w:r>
              <w:rPr>
                <w:sz w:val="24"/>
              </w:rPr>
              <w:t>OR610</w:t>
            </w:r>
          </w:p>
        </w:tc>
        <w:tc>
          <w:tcPr>
            <w:tcW w:w="1800" w:type="dxa"/>
          </w:tcPr>
          <w:p>
            <w:pPr>
              <w:pStyle w:val="TableParagraph"/>
              <w:spacing w:line="274" w:lineRule="exact"/>
              <w:ind w:left="107"/>
              <w:rPr>
                <w:sz w:val="24"/>
              </w:rPr>
            </w:pPr>
            <w:r>
              <w:rPr>
                <w:sz w:val="24"/>
              </w:rPr>
              <w:t>Metolius Arm</w:t>
            </w:r>
          </w:p>
        </w:tc>
        <w:tc>
          <w:tcPr>
            <w:tcW w:w="1080" w:type="dxa"/>
          </w:tcPr>
          <w:p>
            <w:pPr>
              <w:pStyle w:val="TableParagraph"/>
              <w:spacing w:line="274" w:lineRule="exact"/>
              <w:ind w:left="107"/>
              <w:rPr>
                <w:sz w:val="24"/>
              </w:rPr>
            </w:pPr>
            <w:r>
              <w:rPr>
                <w:sz w:val="24"/>
              </w:rPr>
              <w:t>352110</w:t>
            </w:r>
          </w:p>
        </w:tc>
        <w:tc>
          <w:tcPr>
            <w:tcW w:w="1080" w:type="dxa"/>
          </w:tcPr>
          <w:p>
            <w:pPr>
              <w:pStyle w:val="TableParagraph"/>
              <w:spacing w:line="274" w:lineRule="exact"/>
              <w:ind w:left="110"/>
              <w:rPr>
                <w:sz w:val="24"/>
              </w:rPr>
            </w:pPr>
            <w:r>
              <w:rPr>
                <w:sz w:val="24"/>
              </w:rPr>
              <w:t>RAWS</w:t>
            </w:r>
          </w:p>
        </w:tc>
        <w:tc>
          <w:tcPr>
            <w:tcW w:w="977" w:type="dxa"/>
          </w:tcPr>
          <w:p>
            <w:pPr>
              <w:pStyle w:val="TableParagraph"/>
              <w:spacing w:line="274" w:lineRule="exact"/>
              <w:ind w:left="107"/>
              <w:rPr>
                <w:sz w:val="24"/>
              </w:rPr>
            </w:pPr>
            <w:r>
              <w:rPr>
                <w:sz w:val="24"/>
              </w:rPr>
              <w:t>BIA</w:t>
            </w:r>
          </w:p>
        </w:tc>
        <w:tc>
          <w:tcPr>
            <w:tcW w:w="1183" w:type="dxa"/>
          </w:tcPr>
          <w:p>
            <w:pPr>
              <w:pStyle w:val="TableParagraph"/>
              <w:spacing w:line="274" w:lineRule="exact"/>
              <w:ind w:left="105"/>
              <w:rPr>
                <w:sz w:val="24"/>
              </w:rPr>
            </w:pPr>
            <w:r>
              <w:rPr>
                <w:sz w:val="24"/>
              </w:rPr>
              <w:t>44.6275</w:t>
            </w:r>
          </w:p>
        </w:tc>
        <w:tc>
          <w:tcPr>
            <w:tcW w:w="1260" w:type="dxa"/>
          </w:tcPr>
          <w:p>
            <w:pPr>
              <w:pStyle w:val="TableParagraph"/>
              <w:spacing w:line="274" w:lineRule="exact"/>
              <w:ind w:left="107"/>
              <w:rPr>
                <w:sz w:val="24"/>
              </w:rPr>
            </w:pPr>
            <w:r>
              <w:rPr>
                <w:sz w:val="24"/>
              </w:rPr>
              <w:t>121.6147</w:t>
            </w:r>
          </w:p>
        </w:tc>
        <w:tc>
          <w:tcPr>
            <w:tcW w:w="888" w:type="dxa"/>
          </w:tcPr>
          <w:p>
            <w:pPr>
              <w:pStyle w:val="TableParagraph"/>
              <w:spacing w:line="274" w:lineRule="exact"/>
              <w:ind w:left="211"/>
              <w:rPr>
                <w:sz w:val="24"/>
              </w:rPr>
            </w:pPr>
            <w:r>
              <w:rPr>
                <w:sz w:val="24"/>
              </w:rPr>
              <w:t>3440</w:t>
            </w:r>
          </w:p>
        </w:tc>
        <w:tc>
          <w:tcPr>
            <w:tcW w:w="1452" w:type="dxa"/>
          </w:tcPr>
          <w:p>
            <w:pPr>
              <w:pStyle w:val="TableParagraph"/>
              <w:spacing w:line="274" w:lineRule="exact"/>
              <w:ind w:left="107"/>
              <w:rPr>
                <w:sz w:val="24"/>
              </w:rPr>
            </w:pPr>
            <w:r>
              <w:rPr>
                <w:sz w:val="24"/>
              </w:rPr>
              <w:t>Butte-SW</w:t>
            </w:r>
          </w:p>
        </w:tc>
      </w:tr>
      <w:tr>
        <w:trPr>
          <w:trHeight w:val="554" w:hRule="atLeast"/>
        </w:trPr>
        <w:tc>
          <w:tcPr>
            <w:tcW w:w="1080" w:type="dxa"/>
          </w:tcPr>
          <w:p>
            <w:pPr>
              <w:pStyle w:val="TableParagraph"/>
              <w:spacing w:line="271" w:lineRule="exact"/>
              <w:ind w:left="107"/>
              <w:rPr>
                <w:sz w:val="24"/>
              </w:rPr>
            </w:pPr>
            <w:r>
              <w:rPr>
                <w:sz w:val="24"/>
              </w:rPr>
              <w:t>OR610</w:t>
            </w:r>
          </w:p>
        </w:tc>
        <w:tc>
          <w:tcPr>
            <w:tcW w:w="1800" w:type="dxa"/>
          </w:tcPr>
          <w:p>
            <w:pPr>
              <w:pStyle w:val="TableParagraph"/>
              <w:spacing w:line="271" w:lineRule="exact"/>
              <w:ind w:left="107"/>
              <w:rPr>
                <w:sz w:val="24"/>
              </w:rPr>
            </w:pPr>
            <w:r>
              <w:rPr>
                <w:sz w:val="24"/>
              </w:rPr>
              <w:t>Colgate</w:t>
            </w:r>
          </w:p>
        </w:tc>
        <w:tc>
          <w:tcPr>
            <w:tcW w:w="1080" w:type="dxa"/>
          </w:tcPr>
          <w:p>
            <w:pPr>
              <w:pStyle w:val="TableParagraph"/>
              <w:spacing w:line="271" w:lineRule="exact"/>
              <w:ind w:left="107"/>
              <w:rPr>
                <w:sz w:val="24"/>
              </w:rPr>
            </w:pPr>
            <w:r>
              <w:rPr>
                <w:sz w:val="24"/>
              </w:rPr>
              <w:t>352620</w:t>
            </w:r>
          </w:p>
        </w:tc>
        <w:tc>
          <w:tcPr>
            <w:tcW w:w="1080" w:type="dxa"/>
          </w:tcPr>
          <w:p>
            <w:pPr>
              <w:pStyle w:val="TableParagraph"/>
              <w:spacing w:line="271" w:lineRule="exact"/>
              <w:ind w:left="110"/>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5"/>
              <w:rPr>
                <w:sz w:val="24"/>
              </w:rPr>
            </w:pPr>
            <w:r>
              <w:rPr>
                <w:sz w:val="24"/>
              </w:rPr>
              <w:t>44.3156</w:t>
            </w:r>
          </w:p>
        </w:tc>
        <w:tc>
          <w:tcPr>
            <w:tcW w:w="1260" w:type="dxa"/>
          </w:tcPr>
          <w:p>
            <w:pPr>
              <w:pStyle w:val="TableParagraph"/>
              <w:spacing w:line="271" w:lineRule="exact"/>
              <w:ind w:left="107"/>
              <w:rPr>
                <w:sz w:val="24"/>
              </w:rPr>
            </w:pPr>
            <w:r>
              <w:rPr>
                <w:sz w:val="24"/>
              </w:rPr>
              <w:t>121.6022</w:t>
            </w:r>
          </w:p>
        </w:tc>
        <w:tc>
          <w:tcPr>
            <w:tcW w:w="888" w:type="dxa"/>
          </w:tcPr>
          <w:p>
            <w:pPr>
              <w:pStyle w:val="TableParagraph"/>
              <w:spacing w:line="271" w:lineRule="exact"/>
              <w:ind w:left="211"/>
              <w:rPr>
                <w:sz w:val="24"/>
              </w:rPr>
            </w:pPr>
            <w:r>
              <w:rPr>
                <w:sz w:val="24"/>
              </w:rPr>
              <w:t>3280</w:t>
            </w:r>
          </w:p>
        </w:tc>
        <w:tc>
          <w:tcPr>
            <w:tcW w:w="1452" w:type="dxa"/>
          </w:tcPr>
          <w:p>
            <w:pPr>
              <w:pStyle w:val="TableParagraph"/>
              <w:spacing w:line="271" w:lineRule="exact"/>
              <w:ind w:left="107"/>
              <w:rPr>
                <w:sz w:val="24"/>
              </w:rPr>
            </w:pPr>
            <w:r>
              <w:rPr>
                <w:sz w:val="24"/>
              </w:rPr>
              <w:t>Flat</w:t>
            </w:r>
          </w:p>
        </w:tc>
      </w:tr>
      <w:tr>
        <w:trPr>
          <w:trHeight w:val="275" w:hRule="atLeast"/>
        </w:trPr>
        <w:tc>
          <w:tcPr>
            <w:tcW w:w="1080" w:type="dxa"/>
          </w:tcPr>
          <w:p>
            <w:pPr>
              <w:pStyle w:val="TableParagraph"/>
              <w:rPr>
                <w:rFonts w:ascii="Times New Roman"/>
                <w:sz w:val="20"/>
              </w:rPr>
            </w:pPr>
          </w:p>
        </w:tc>
        <w:tc>
          <w:tcPr>
            <w:tcW w:w="1800" w:type="dxa"/>
          </w:tcPr>
          <w:p>
            <w:pPr>
              <w:pStyle w:val="TableParagraph"/>
              <w:rPr>
                <w:rFonts w:ascii="Times New Roman"/>
                <w:sz w:val="20"/>
              </w:rPr>
            </w:pPr>
          </w:p>
        </w:tc>
        <w:tc>
          <w:tcPr>
            <w:tcW w:w="1080" w:type="dxa"/>
          </w:tcPr>
          <w:p>
            <w:pPr>
              <w:pStyle w:val="TableParagraph"/>
              <w:rPr>
                <w:rFonts w:ascii="Times New Roman"/>
                <w:sz w:val="20"/>
              </w:rPr>
            </w:pPr>
          </w:p>
        </w:tc>
        <w:tc>
          <w:tcPr>
            <w:tcW w:w="1080" w:type="dxa"/>
          </w:tcPr>
          <w:p>
            <w:pPr>
              <w:pStyle w:val="TableParagraph"/>
              <w:rPr>
                <w:rFonts w:ascii="Times New Roman"/>
                <w:sz w:val="20"/>
              </w:rPr>
            </w:pPr>
          </w:p>
        </w:tc>
        <w:tc>
          <w:tcPr>
            <w:tcW w:w="977" w:type="dxa"/>
          </w:tcPr>
          <w:p>
            <w:pPr>
              <w:pStyle w:val="TableParagraph"/>
              <w:rPr>
                <w:rFonts w:ascii="Times New Roman"/>
                <w:sz w:val="20"/>
              </w:rPr>
            </w:pPr>
          </w:p>
        </w:tc>
        <w:tc>
          <w:tcPr>
            <w:tcW w:w="1183" w:type="dxa"/>
          </w:tcPr>
          <w:p>
            <w:pPr>
              <w:pStyle w:val="TableParagraph"/>
              <w:rPr>
                <w:rFonts w:ascii="Times New Roman"/>
                <w:sz w:val="20"/>
              </w:rPr>
            </w:pPr>
          </w:p>
        </w:tc>
        <w:tc>
          <w:tcPr>
            <w:tcW w:w="1260" w:type="dxa"/>
          </w:tcPr>
          <w:p>
            <w:pPr>
              <w:pStyle w:val="TableParagraph"/>
              <w:rPr>
                <w:rFonts w:ascii="Times New Roman"/>
                <w:sz w:val="20"/>
              </w:rPr>
            </w:pPr>
          </w:p>
        </w:tc>
        <w:tc>
          <w:tcPr>
            <w:tcW w:w="888" w:type="dxa"/>
          </w:tcPr>
          <w:p>
            <w:pPr>
              <w:pStyle w:val="TableParagraph"/>
              <w:rPr>
                <w:rFonts w:ascii="Times New Roman"/>
                <w:sz w:val="20"/>
              </w:rPr>
            </w:pPr>
          </w:p>
        </w:tc>
        <w:tc>
          <w:tcPr>
            <w:tcW w:w="1452" w:type="dxa"/>
          </w:tcPr>
          <w:p>
            <w:pPr>
              <w:pStyle w:val="TableParagraph"/>
              <w:rPr>
                <w:rFonts w:ascii="Times New Roman"/>
                <w:sz w:val="20"/>
              </w:rPr>
            </w:pPr>
          </w:p>
        </w:tc>
      </w:tr>
      <w:tr>
        <w:trPr>
          <w:trHeight w:val="551" w:hRule="atLeast"/>
        </w:trPr>
        <w:tc>
          <w:tcPr>
            <w:tcW w:w="1080" w:type="dxa"/>
          </w:tcPr>
          <w:p>
            <w:pPr>
              <w:pStyle w:val="TableParagraph"/>
              <w:spacing w:line="271" w:lineRule="exact"/>
              <w:ind w:left="107"/>
              <w:rPr>
                <w:sz w:val="24"/>
              </w:rPr>
            </w:pPr>
            <w:r>
              <w:rPr>
                <w:sz w:val="24"/>
              </w:rPr>
              <w:t>OR611</w:t>
            </w:r>
          </w:p>
        </w:tc>
        <w:tc>
          <w:tcPr>
            <w:tcW w:w="1800" w:type="dxa"/>
          </w:tcPr>
          <w:p>
            <w:pPr>
              <w:pStyle w:val="TableParagraph"/>
              <w:spacing w:line="271" w:lineRule="exact"/>
              <w:ind w:left="107"/>
              <w:rPr>
                <w:sz w:val="24"/>
              </w:rPr>
            </w:pPr>
            <w:r>
              <w:rPr>
                <w:sz w:val="24"/>
              </w:rPr>
              <w:t>Round Mtn</w:t>
            </w:r>
          </w:p>
        </w:tc>
        <w:tc>
          <w:tcPr>
            <w:tcW w:w="1080" w:type="dxa"/>
          </w:tcPr>
          <w:p>
            <w:pPr>
              <w:pStyle w:val="TableParagraph"/>
              <w:spacing w:line="271" w:lineRule="exact"/>
              <w:ind w:left="107"/>
              <w:rPr>
                <w:sz w:val="24"/>
              </w:rPr>
            </w:pPr>
            <w:r>
              <w:rPr>
                <w:sz w:val="24"/>
              </w:rPr>
              <w:t>352605</w:t>
            </w:r>
          </w:p>
        </w:tc>
        <w:tc>
          <w:tcPr>
            <w:tcW w:w="1080" w:type="dxa"/>
          </w:tcPr>
          <w:p>
            <w:pPr>
              <w:pStyle w:val="TableParagraph"/>
              <w:spacing w:line="271" w:lineRule="exact"/>
              <w:ind w:left="110"/>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5"/>
              <w:rPr>
                <w:sz w:val="24"/>
              </w:rPr>
            </w:pPr>
            <w:r>
              <w:rPr>
                <w:sz w:val="24"/>
              </w:rPr>
              <w:t>43.7575</w:t>
            </w:r>
          </w:p>
        </w:tc>
        <w:tc>
          <w:tcPr>
            <w:tcW w:w="1260" w:type="dxa"/>
          </w:tcPr>
          <w:p>
            <w:pPr>
              <w:pStyle w:val="TableParagraph"/>
              <w:spacing w:line="271" w:lineRule="exact"/>
              <w:ind w:left="107"/>
              <w:rPr>
                <w:sz w:val="24"/>
              </w:rPr>
            </w:pPr>
            <w:r>
              <w:rPr>
                <w:sz w:val="24"/>
              </w:rPr>
              <w:t>121.7102</w:t>
            </w:r>
          </w:p>
        </w:tc>
        <w:tc>
          <w:tcPr>
            <w:tcW w:w="888" w:type="dxa"/>
          </w:tcPr>
          <w:p>
            <w:pPr>
              <w:pStyle w:val="TableParagraph"/>
              <w:spacing w:line="271" w:lineRule="exact"/>
              <w:ind w:left="211"/>
              <w:rPr>
                <w:sz w:val="24"/>
              </w:rPr>
            </w:pPr>
            <w:r>
              <w:rPr>
                <w:sz w:val="24"/>
              </w:rPr>
              <w:t>5900</w:t>
            </w:r>
          </w:p>
        </w:tc>
        <w:tc>
          <w:tcPr>
            <w:tcW w:w="1452" w:type="dxa"/>
          </w:tcPr>
          <w:p>
            <w:pPr>
              <w:pStyle w:val="TableParagraph"/>
              <w:spacing w:line="271" w:lineRule="exact"/>
              <w:ind w:left="107"/>
              <w:rPr>
                <w:sz w:val="24"/>
              </w:rPr>
            </w:pPr>
            <w:r>
              <w:rPr>
                <w:sz w:val="24"/>
              </w:rPr>
              <w:t>Butte top</w:t>
            </w:r>
          </w:p>
        </w:tc>
      </w:tr>
      <w:tr>
        <w:trPr>
          <w:trHeight w:val="551" w:hRule="atLeast"/>
        </w:trPr>
        <w:tc>
          <w:tcPr>
            <w:tcW w:w="1080" w:type="dxa"/>
          </w:tcPr>
          <w:p>
            <w:pPr>
              <w:pStyle w:val="TableParagraph"/>
              <w:spacing w:line="271" w:lineRule="exact"/>
              <w:ind w:left="107"/>
              <w:rPr>
                <w:sz w:val="24"/>
              </w:rPr>
            </w:pPr>
            <w:r>
              <w:rPr>
                <w:sz w:val="24"/>
              </w:rPr>
              <w:t>OR611</w:t>
            </w:r>
          </w:p>
        </w:tc>
        <w:tc>
          <w:tcPr>
            <w:tcW w:w="1800" w:type="dxa"/>
          </w:tcPr>
          <w:p>
            <w:pPr>
              <w:pStyle w:val="TableParagraph"/>
              <w:spacing w:line="271" w:lineRule="exact"/>
              <w:ind w:left="107"/>
              <w:rPr>
                <w:sz w:val="24"/>
              </w:rPr>
            </w:pPr>
            <w:r>
              <w:rPr>
                <w:sz w:val="24"/>
              </w:rPr>
              <w:t>Lava Butte</w:t>
            </w:r>
          </w:p>
        </w:tc>
        <w:tc>
          <w:tcPr>
            <w:tcW w:w="1080" w:type="dxa"/>
          </w:tcPr>
          <w:p>
            <w:pPr>
              <w:pStyle w:val="TableParagraph"/>
              <w:spacing w:line="271" w:lineRule="exact"/>
              <w:ind w:left="107"/>
              <w:rPr>
                <w:sz w:val="24"/>
              </w:rPr>
            </w:pPr>
            <w:r>
              <w:rPr>
                <w:sz w:val="24"/>
              </w:rPr>
              <w:t>352618</w:t>
            </w:r>
          </w:p>
        </w:tc>
        <w:tc>
          <w:tcPr>
            <w:tcW w:w="1080" w:type="dxa"/>
          </w:tcPr>
          <w:p>
            <w:pPr>
              <w:pStyle w:val="TableParagraph"/>
              <w:spacing w:line="271" w:lineRule="exact"/>
              <w:ind w:left="110"/>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5"/>
              <w:rPr>
                <w:sz w:val="24"/>
              </w:rPr>
            </w:pPr>
            <w:r>
              <w:rPr>
                <w:sz w:val="24"/>
              </w:rPr>
              <w:t>43.9253</w:t>
            </w:r>
          </w:p>
        </w:tc>
        <w:tc>
          <w:tcPr>
            <w:tcW w:w="1260" w:type="dxa"/>
          </w:tcPr>
          <w:p>
            <w:pPr>
              <w:pStyle w:val="TableParagraph"/>
              <w:spacing w:line="271" w:lineRule="exact"/>
              <w:ind w:left="107"/>
              <w:rPr>
                <w:sz w:val="24"/>
              </w:rPr>
            </w:pPr>
            <w:r>
              <w:rPr>
                <w:sz w:val="24"/>
              </w:rPr>
              <w:t>121.3429</w:t>
            </w:r>
          </w:p>
        </w:tc>
        <w:tc>
          <w:tcPr>
            <w:tcW w:w="888" w:type="dxa"/>
          </w:tcPr>
          <w:p>
            <w:pPr>
              <w:pStyle w:val="TableParagraph"/>
              <w:spacing w:line="271" w:lineRule="exact"/>
              <w:ind w:left="211"/>
              <w:rPr>
                <w:sz w:val="24"/>
              </w:rPr>
            </w:pPr>
            <w:r>
              <w:rPr>
                <w:sz w:val="24"/>
              </w:rPr>
              <w:t>4655</w:t>
            </w:r>
          </w:p>
        </w:tc>
        <w:tc>
          <w:tcPr>
            <w:tcW w:w="1452" w:type="dxa"/>
          </w:tcPr>
          <w:p>
            <w:pPr>
              <w:pStyle w:val="TableParagraph"/>
              <w:spacing w:line="271" w:lineRule="exact"/>
              <w:ind w:left="107"/>
              <w:rPr>
                <w:sz w:val="24"/>
              </w:rPr>
            </w:pPr>
            <w:r>
              <w:rPr>
                <w:sz w:val="24"/>
              </w:rPr>
              <w:t>Butte top-S</w:t>
            </w:r>
          </w:p>
        </w:tc>
      </w:tr>
      <w:tr>
        <w:trPr>
          <w:trHeight w:val="551" w:hRule="atLeast"/>
        </w:trPr>
        <w:tc>
          <w:tcPr>
            <w:tcW w:w="1080" w:type="dxa"/>
          </w:tcPr>
          <w:p>
            <w:pPr>
              <w:pStyle w:val="TableParagraph"/>
              <w:spacing w:line="269" w:lineRule="exact"/>
              <w:ind w:left="107"/>
              <w:rPr>
                <w:sz w:val="24"/>
              </w:rPr>
            </w:pPr>
            <w:r>
              <w:rPr>
                <w:sz w:val="24"/>
              </w:rPr>
              <w:t>OR611</w:t>
            </w:r>
          </w:p>
        </w:tc>
        <w:tc>
          <w:tcPr>
            <w:tcW w:w="1800" w:type="dxa"/>
          </w:tcPr>
          <w:p>
            <w:pPr>
              <w:pStyle w:val="TableParagraph"/>
              <w:spacing w:line="269" w:lineRule="exact"/>
              <w:ind w:left="107"/>
              <w:rPr>
                <w:sz w:val="24"/>
              </w:rPr>
            </w:pPr>
            <w:r>
              <w:rPr>
                <w:sz w:val="24"/>
              </w:rPr>
              <w:t>Tepee Draw</w:t>
            </w:r>
          </w:p>
        </w:tc>
        <w:tc>
          <w:tcPr>
            <w:tcW w:w="1080" w:type="dxa"/>
          </w:tcPr>
          <w:p>
            <w:pPr>
              <w:pStyle w:val="TableParagraph"/>
              <w:spacing w:line="269" w:lineRule="exact"/>
              <w:ind w:left="107"/>
              <w:rPr>
                <w:sz w:val="24"/>
              </w:rPr>
            </w:pPr>
            <w:r>
              <w:rPr>
                <w:sz w:val="24"/>
              </w:rPr>
              <w:t>352622</w:t>
            </w:r>
          </w:p>
        </w:tc>
        <w:tc>
          <w:tcPr>
            <w:tcW w:w="1080" w:type="dxa"/>
          </w:tcPr>
          <w:p>
            <w:pPr>
              <w:pStyle w:val="TableParagraph"/>
              <w:spacing w:line="269" w:lineRule="exact"/>
              <w:ind w:left="110"/>
              <w:rPr>
                <w:sz w:val="24"/>
              </w:rPr>
            </w:pPr>
            <w:r>
              <w:rPr>
                <w:sz w:val="24"/>
              </w:rPr>
              <w:t>RAWS</w:t>
            </w:r>
          </w:p>
        </w:tc>
        <w:tc>
          <w:tcPr>
            <w:tcW w:w="977" w:type="dxa"/>
          </w:tcPr>
          <w:p>
            <w:pPr>
              <w:pStyle w:val="TableParagraph"/>
              <w:spacing w:line="269" w:lineRule="exact"/>
              <w:ind w:left="107"/>
              <w:rPr>
                <w:sz w:val="24"/>
              </w:rPr>
            </w:pPr>
            <w:r>
              <w:rPr>
                <w:sz w:val="24"/>
              </w:rPr>
              <w:t>USFS</w:t>
            </w:r>
          </w:p>
        </w:tc>
        <w:tc>
          <w:tcPr>
            <w:tcW w:w="1183" w:type="dxa"/>
          </w:tcPr>
          <w:p>
            <w:pPr>
              <w:pStyle w:val="TableParagraph"/>
              <w:spacing w:line="269" w:lineRule="exact"/>
              <w:ind w:left="105"/>
              <w:rPr>
                <w:sz w:val="24"/>
              </w:rPr>
            </w:pPr>
            <w:r>
              <w:rPr>
                <w:sz w:val="24"/>
              </w:rPr>
              <w:t>43.8322</w:t>
            </w:r>
          </w:p>
        </w:tc>
        <w:tc>
          <w:tcPr>
            <w:tcW w:w="1260" w:type="dxa"/>
          </w:tcPr>
          <w:p>
            <w:pPr>
              <w:pStyle w:val="TableParagraph"/>
              <w:spacing w:line="269" w:lineRule="exact"/>
              <w:ind w:left="107"/>
              <w:rPr>
                <w:sz w:val="24"/>
              </w:rPr>
            </w:pPr>
            <w:r>
              <w:rPr>
                <w:sz w:val="24"/>
              </w:rPr>
              <w:t>121.0842</w:t>
            </w:r>
          </w:p>
        </w:tc>
        <w:tc>
          <w:tcPr>
            <w:tcW w:w="888" w:type="dxa"/>
          </w:tcPr>
          <w:p>
            <w:pPr>
              <w:pStyle w:val="TableParagraph"/>
              <w:spacing w:line="269" w:lineRule="exact"/>
              <w:ind w:left="211"/>
              <w:rPr>
                <w:sz w:val="24"/>
              </w:rPr>
            </w:pPr>
            <w:r>
              <w:rPr>
                <w:sz w:val="24"/>
              </w:rPr>
              <w:t>4740</w:t>
            </w:r>
          </w:p>
        </w:tc>
        <w:tc>
          <w:tcPr>
            <w:tcW w:w="1452" w:type="dxa"/>
          </w:tcPr>
          <w:p>
            <w:pPr>
              <w:pStyle w:val="TableParagraph"/>
              <w:spacing w:line="269" w:lineRule="exact"/>
              <w:ind w:left="107"/>
              <w:rPr>
                <w:sz w:val="24"/>
              </w:rPr>
            </w:pPr>
            <w:r>
              <w:rPr>
                <w:sz w:val="24"/>
              </w:rPr>
              <w:t>Lwr slope-E</w:t>
            </w:r>
          </w:p>
        </w:tc>
      </w:tr>
      <w:tr>
        <w:trPr>
          <w:trHeight w:val="551" w:hRule="atLeast"/>
        </w:trPr>
        <w:tc>
          <w:tcPr>
            <w:tcW w:w="1080" w:type="dxa"/>
          </w:tcPr>
          <w:p>
            <w:pPr>
              <w:pStyle w:val="TableParagraph"/>
              <w:spacing w:line="271" w:lineRule="exact"/>
              <w:ind w:left="107"/>
              <w:rPr>
                <w:sz w:val="24"/>
              </w:rPr>
            </w:pPr>
            <w:r>
              <w:rPr>
                <w:sz w:val="24"/>
              </w:rPr>
              <w:t>OR611</w:t>
            </w:r>
          </w:p>
        </w:tc>
        <w:tc>
          <w:tcPr>
            <w:tcW w:w="1800" w:type="dxa"/>
          </w:tcPr>
          <w:p>
            <w:pPr>
              <w:pStyle w:val="TableParagraph"/>
              <w:spacing w:line="271" w:lineRule="exact"/>
              <w:ind w:left="107"/>
              <w:rPr>
                <w:sz w:val="24"/>
              </w:rPr>
            </w:pPr>
            <w:r>
              <w:rPr>
                <w:sz w:val="24"/>
              </w:rPr>
              <w:t>Black Rock</w:t>
            </w:r>
          </w:p>
        </w:tc>
        <w:tc>
          <w:tcPr>
            <w:tcW w:w="1080" w:type="dxa"/>
          </w:tcPr>
          <w:p>
            <w:pPr>
              <w:pStyle w:val="TableParagraph"/>
              <w:spacing w:line="271" w:lineRule="exact"/>
              <w:ind w:left="107"/>
              <w:rPr>
                <w:sz w:val="24"/>
              </w:rPr>
            </w:pPr>
            <w:r>
              <w:rPr>
                <w:sz w:val="24"/>
              </w:rPr>
              <w:t>353342</w:t>
            </w:r>
          </w:p>
        </w:tc>
        <w:tc>
          <w:tcPr>
            <w:tcW w:w="1080" w:type="dxa"/>
          </w:tcPr>
          <w:p>
            <w:pPr>
              <w:pStyle w:val="TableParagraph"/>
              <w:spacing w:line="271" w:lineRule="exact"/>
              <w:ind w:left="110"/>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5"/>
              <w:rPr>
                <w:sz w:val="24"/>
              </w:rPr>
            </w:pPr>
            <w:r>
              <w:rPr>
                <w:sz w:val="24"/>
              </w:rPr>
              <w:t>43.527</w:t>
            </w:r>
          </w:p>
        </w:tc>
        <w:tc>
          <w:tcPr>
            <w:tcW w:w="1260" w:type="dxa"/>
          </w:tcPr>
          <w:p>
            <w:pPr>
              <w:pStyle w:val="TableParagraph"/>
              <w:spacing w:line="271" w:lineRule="exact"/>
              <w:ind w:left="107"/>
              <w:rPr>
                <w:sz w:val="24"/>
              </w:rPr>
            </w:pPr>
            <w:r>
              <w:rPr>
                <w:sz w:val="24"/>
              </w:rPr>
              <w:t>121.8090</w:t>
            </w:r>
          </w:p>
        </w:tc>
        <w:tc>
          <w:tcPr>
            <w:tcW w:w="888" w:type="dxa"/>
          </w:tcPr>
          <w:p>
            <w:pPr>
              <w:pStyle w:val="TableParagraph"/>
              <w:spacing w:line="271" w:lineRule="exact"/>
              <w:ind w:left="211"/>
              <w:rPr>
                <w:sz w:val="24"/>
              </w:rPr>
            </w:pPr>
            <w:r>
              <w:rPr>
                <w:sz w:val="24"/>
              </w:rPr>
              <w:t>4880</w:t>
            </w:r>
          </w:p>
        </w:tc>
        <w:tc>
          <w:tcPr>
            <w:tcW w:w="1452" w:type="dxa"/>
          </w:tcPr>
          <w:p>
            <w:pPr>
              <w:pStyle w:val="TableParagraph"/>
              <w:spacing w:line="271" w:lineRule="exact"/>
              <w:ind w:left="107"/>
              <w:rPr>
                <w:sz w:val="24"/>
              </w:rPr>
            </w:pPr>
            <w:r>
              <w:rPr>
                <w:sz w:val="24"/>
              </w:rPr>
              <w:t>Lwr slope-S</w:t>
            </w:r>
          </w:p>
        </w:tc>
      </w:tr>
      <w:tr>
        <w:trPr>
          <w:trHeight w:val="554" w:hRule="atLeast"/>
        </w:trPr>
        <w:tc>
          <w:tcPr>
            <w:tcW w:w="1080" w:type="dxa"/>
          </w:tcPr>
          <w:p>
            <w:pPr>
              <w:pStyle w:val="TableParagraph"/>
              <w:spacing w:line="274" w:lineRule="exact"/>
              <w:ind w:left="107"/>
              <w:rPr>
                <w:sz w:val="24"/>
              </w:rPr>
            </w:pPr>
            <w:r>
              <w:rPr>
                <w:sz w:val="24"/>
              </w:rPr>
              <w:t>OR611</w:t>
            </w:r>
          </w:p>
        </w:tc>
        <w:tc>
          <w:tcPr>
            <w:tcW w:w="1800" w:type="dxa"/>
          </w:tcPr>
          <w:p>
            <w:pPr>
              <w:pStyle w:val="TableParagraph"/>
              <w:spacing w:line="274" w:lineRule="exact"/>
              <w:ind w:left="107"/>
              <w:rPr>
                <w:sz w:val="24"/>
              </w:rPr>
            </w:pPr>
            <w:r>
              <w:rPr>
                <w:sz w:val="24"/>
              </w:rPr>
              <w:t>Cabin Lake</w:t>
            </w:r>
          </w:p>
        </w:tc>
        <w:tc>
          <w:tcPr>
            <w:tcW w:w="1080" w:type="dxa"/>
          </w:tcPr>
          <w:p>
            <w:pPr>
              <w:pStyle w:val="TableParagraph"/>
              <w:spacing w:line="274" w:lineRule="exact"/>
              <w:ind w:left="107"/>
              <w:rPr>
                <w:sz w:val="24"/>
              </w:rPr>
            </w:pPr>
            <w:r>
              <w:rPr>
                <w:sz w:val="24"/>
              </w:rPr>
              <w:t>353402</w:t>
            </w:r>
          </w:p>
        </w:tc>
        <w:tc>
          <w:tcPr>
            <w:tcW w:w="1080" w:type="dxa"/>
          </w:tcPr>
          <w:p>
            <w:pPr>
              <w:pStyle w:val="TableParagraph"/>
              <w:spacing w:line="274" w:lineRule="exact"/>
              <w:ind w:left="110"/>
              <w:rPr>
                <w:sz w:val="24"/>
              </w:rPr>
            </w:pPr>
            <w:r>
              <w:rPr>
                <w:sz w:val="24"/>
              </w:rPr>
              <w:t>RAWS</w:t>
            </w:r>
          </w:p>
        </w:tc>
        <w:tc>
          <w:tcPr>
            <w:tcW w:w="977" w:type="dxa"/>
          </w:tcPr>
          <w:p>
            <w:pPr>
              <w:pStyle w:val="TableParagraph"/>
              <w:spacing w:line="274" w:lineRule="exact"/>
              <w:ind w:left="107"/>
              <w:rPr>
                <w:sz w:val="24"/>
              </w:rPr>
            </w:pPr>
            <w:r>
              <w:rPr>
                <w:sz w:val="24"/>
              </w:rPr>
              <w:t>USFS</w:t>
            </w:r>
          </w:p>
        </w:tc>
        <w:tc>
          <w:tcPr>
            <w:tcW w:w="1183" w:type="dxa"/>
          </w:tcPr>
          <w:p>
            <w:pPr>
              <w:pStyle w:val="TableParagraph"/>
              <w:spacing w:line="274" w:lineRule="exact"/>
              <w:ind w:left="105"/>
              <w:rPr>
                <w:sz w:val="24"/>
              </w:rPr>
            </w:pPr>
            <w:r>
              <w:rPr>
                <w:sz w:val="24"/>
              </w:rPr>
              <w:t>43.4956</w:t>
            </w:r>
          </w:p>
        </w:tc>
        <w:tc>
          <w:tcPr>
            <w:tcW w:w="1260" w:type="dxa"/>
          </w:tcPr>
          <w:p>
            <w:pPr>
              <w:pStyle w:val="TableParagraph"/>
              <w:spacing w:line="274" w:lineRule="exact"/>
              <w:ind w:left="107"/>
              <w:rPr>
                <w:sz w:val="24"/>
              </w:rPr>
            </w:pPr>
            <w:r>
              <w:rPr>
                <w:sz w:val="24"/>
              </w:rPr>
              <w:t>121.0597</w:t>
            </w:r>
          </w:p>
        </w:tc>
        <w:tc>
          <w:tcPr>
            <w:tcW w:w="888" w:type="dxa"/>
          </w:tcPr>
          <w:p>
            <w:pPr>
              <w:pStyle w:val="TableParagraph"/>
              <w:spacing w:line="274" w:lineRule="exact"/>
              <w:ind w:left="211"/>
              <w:rPr>
                <w:sz w:val="24"/>
              </w:rPr>
            </w:pPr>
            <w:r>
              <w:rPr>
                <w:sz w:val="24"/>
              </w:rPr>
              <w:t>4545</w:t>
            </w:r>
          </w:p>
        </w:tc>
        <w:tc>
          <w:tcPr>
            <w:tcW w:w="1452" w:type="dxa"/>
          </w:tcPr>
          <w:p>
            <w:pPr>
              <w:pStyle w:val="TableParagraph"/>
              <w:spacing w:line="274" w:lineRule="exact"/>
              <w:ind w:left="107"/>
              <w:rPr>
                <w:sz w:val="24"/>
              </w:rPr>
            </w:pPr>
            <w:r>
              <w:rPr>
                <w:sz w:val="24"/>
              </w:rPr>
              <w:t>Flat</w:t>
            </w:r>
          </w:p>
        </w:tc>
      </w:tr>
      <w:tr>
        <w:trPr>
          <w:trHeight w:val="554" w:hRule="atLeast"/>
        </w:trPr>
        <w:tc>
          <w:tcPr>
            <w:tcW w:w="1080" w:type="dxa"/>
          </w:tcPr>
          <w:p>
            <w:pPr>
              <w:pStyle w:val="TableParagraph"/>
              <w:spacing w:line="271" w:lineRule="exact"/>
              <w:ind w:left="107"/>
              <w:rPr>
                <w:sz w:val="24"/>
              </w:rPr>
            </w:pPr>
            <w:r>
              <w:rPr>
                <w:sz w:val="24"/>
              </w:rPr>
              <w:t>OR611</w:t>
            </w:r>
          </w:p>
        </w:tc>
        <w:tc>
          <w:tcPr>
            <w:tcW w:w="1800" w:type="dxa"/>
          </w:tcPr>
          <w:p>
            <w:pPr>
              <w:pStyle w:val="TableParagraph"/>
              <w:spacing w:line="271" w:lineRule="exact"/>
              <w:ind w:left="107"/>
              <w:rPr>
                <w:sz w:val="24"/>
              </w:rPr>
            </w:pPr>
            <w:r>
              <w:rPr>
                <w:sz w:val="24"/>
              </w:rPr>
              <w:t>Tumalo Ridge</w:t>
            </w:r>
          </w:p>
        </w:tc>
        <w:tc>
          <w:tcPr>
            <w:tcW w:w="1080" w:type="dxa"/>
          </w:tcPr>
          <w:p>
            <w:pPr>
              <w:pStyle w:val="TableParagraph"/>
              <w:spacing w:line="271" w:lineRule="exact"/>
              <w:ind w:left="107"/>
              <w:rPr>
                <w:sz w:val="24"/>
              </w:rPr>
            </w:pPr>
            <w:r>
              <w:rPr>
                <w:sz w:val="24"/>
              </w:rPr>
              <w:t>352621</w:t>
            </w:r>
          </w:p>
        </w:tc>
        <w:tc>
          <w:tcPr>
            <w:tcW w:w="1080" w:type="dxa"/>
          </w:tcPr>
          <w:p>
            <w:pPr>
              <w:pStyle w:val="TableParagraph"/>
              <w:spacing w:line="271" w:lineRule="exact"/>
              <w:ind w:left="110"/>
              <w:rPr>
                <w:sz w:val="24"/>
              </w:rPr>
            </w:pPr>
            <w:r>
              <w:rPr>
                <w:sz w:val="24"/>
              </w:rPr>
              <w:t>RAWS</w:t>
            </w:r>
          </w:p>
        </w:tc>
        <w:tc>
          <w:tcPr>
            <w:tcW w:w="977" w:type="dxa"/>
          </w:tcPr>
          <w:p>
            <w:pPr>
              <w:pStyle w:val="TableParagraph"/>
              <w:spacing w:line="271" w:lineRule="exact"/>
              <w:ind w:left="107"/>
              <w:rPr>
                <w:sz w:val="24"/>
              </w:rPr>
            </w:pPr>
            <w:r>
              <w:rPr>
                <w:sz w:val="24"/>
              </w:rPr>
              <w:t>ODF</w:t>
            </w:r>
          </w:p>
        </w:tc>
        <w:tc>
          <w:tcPr>
            <w:tcW w:w="1183" w:type="dxa"/>
          </w:tcPr>
          <w:p>
            <w:pPr>
              <w:pStyle w:val="TableParagraph"/>
              <w:spacing w:line="271" w:lineRule="exact"/>
              <w:ind w:left="105"/>
              <w:rPr>
                <w:sz w:val="24"/>
              </w:rPr>
            </w:pPr>
            <w:r>
              <w:rPr>
                <w:sz w:val="24"/>
              </w:rPr>
              <w:t>44.0493</w:t>
            </w:r>
          </w:p>
        </w:tc>
        <w:tc>
          <w:tcPr>
            <w:tcW w:w="1260" w:type="dxa"/>
          </w:tcPr>
          <w:p>
            <w:pPr>
              <w:pStyle w:val="TableParagraph"/>
              <w:spacing w:line="271" w:lineRule="exact"/>
              <w:ind w:left="107"/>
              <w:rPr>
                <w:sz w:val="24"/>
              </w:rPr>
            </w:pPr>
            <w:r>
              <w:rPr>
                <w:sz w:val="24"/>
              </w:rPr>
              <w:t>121.4001</w:t>
            </w:r>
          </w:p>
        </w:tc>
        <w:tc>
          <w:tcPr>
            <w:tcW w:w="888" w:type="dxa"/>
          </w:tcPr>
          <w:p>
            <w:pPr>
              <w:pStyle w:val="TableParagraph"/>
              <w:spacing w:line="271" w:lineRule="exact"/>
              <w:ind w:left="211"/>
              <w:rPr>
                <w:sz w:val="24"/>
              </w:rPr>
            </w:pPr>
            <w:r>
              <w:rPr>
                <w:sz w:val="24"/>
              </w:rPr>
              <w:t>4000</w:t>
            </w:r>
          </w:p>
        </w:tc>
        <w:tc>
          <w:tcPr>
            <w:tcW w:w="1452" w:type="dxa"/>
          </w:tcPr>
          <w:p>
            <w:pPr>
              <w:pStyle w:val="TableParagraph"/>
              <w:spacing w:line="271" w:lineRule="exact"/>
              <w:ind w:left="107"/>
              <w:rPr>
                <w:sz w:val="24"/>
              </w:rPr>
            </w:pPr>
            <w:r>
              <w:rPr>
                <w:sz w:val="24"/>
              </w:rPr>
              <w:t>Ridge-NW</w:t>
            </w:r>
          </w:p>
        </w:tc>
      </w:tr>
      <w:tr>
        <w:trPr>
          <w:trHeight w:val="275" w:hRule="atLeast"/>
        </w:trPr>
        <w:tc>
          <w:tcPr>
            <w:tcW w:w="1080" w:type="dxa"/>
          </w:tcPr>
          <w:p>
            <w:pPr>
              <w:pStyle w:val="TableParagraph"/>
              <w:rPr>
                <w:rFonts w:ascii="Times New Roman"/>
                <w:sz w:val="20"/>
              </w:rPr>
            </w:pPr>
          </w:p>
        </w:tc>
        <w:tc>
          <w:tcPr>
            <w:tcW w:w="1800" w:type="dxa"/>
          </w:tcPr>
          <w:p>
            <w:pPr>
              <w:pStyle w:val="TableParagraph"/>
              <w:rPr>
                <w:rFonts w:ascii="Times New Roman"/>
                <w:sz w:val="20"/>
              </w:rPr>
            </w:pPr>
          </w:p>
        </w:tc>
        <w:tc>
          <w:tcPr>
            <w:tcW w:w="1080" w:type="dxa"/>
          </w:tcPr>
          <w:p>
            <w:pPr>
              <w:pStyle w:val="TableParagraph"/>
              <w:rPr>
                <w:rFonts w:ascii="Times New Roman"/>
                <w:sz w:val="20"/>
              </w:rPr>
            </w:pPr>
          </w:p>
        </w:tc>
        <w:tc>
          <w:tcPr>
            <w:tcW w:w="1080" w:type="dxa"/>
          </w:tcPr>
          <w:p>
            <w:pPr>
              <w:pStyle w:val="TableParagraph"/>
              <w:rPr>
                <w:rFonts w:ascii="Times New Roman"/>
                <w:sz w:val="20"/>
              </w:rPr>
            </w:pPr>
          </w:p>
        </w:tc>
        <w:tc>
          <w:tcPr>
            <w:tcW w:w="977" w:type="dxa"/>
          </w:tcPr>
          <w:p>
            <w:pPr>
              <w:pStyle w:val="TableParagraph"/>
              <w:rPr>
                <w:rFonts w:ascii="Times New Roman"/>
                <w:sz w:val="20"/>
              </w:rPr>
            </w:pPr>
          </w:p>
        </w:tc>
        <w:tc>
          <w:tcPr>
            <w:tcW w:w="1183" w:type="dxa"/>
          </w:tcPr>
          <w:p>
            <w:pPr>
              <w:pStyle w:val="TableParagraph"/>
              <w:rPr>
                <w:rFonts w:ascii="Times New Roman"/>
                <w:sz w:val="20"/>
              </w:rPr>
            </w:pPr>
          </w:p>
        </w:tc>
        <w:tc>
          <w:tcPr>
            <w:tcW w:w="1260" w:type="dxa"/>
          </w:tcPr>
          <w:p>
            <w:pPr>
              <w:pStyle w:val="TableParagraph"/>
              <w:rPr>
                <w:rFonts w:ascii="Times New Roman"/>
                <w:sz w:val="20"/>
              </w:rPr>
            </w:pPr>
          </w:p>
        </w:tc>
        <w:tc>
          <w:tcPr>
            <w:tcW w:w="888" w:type="dxa"/>
          </w:tcPr>
          <w:p>
            <w:pPr>
              <w:pStyle w:val="TableParagraph"/>
              <w:rPr>
                <w:rFonts w:ascii="Times New Roman"/>
                <w:sz w:val="20"/>
              </w:rPr>
            </w:pPr>
          </w:p>
        </w:tc>
        <w:tc>
          <w:tcPr>
            <w:tcW w:w="1452" w:type="dxa"/>
          </w:tcPr>
          <w:p>
            <w:pPr>
              <w:pStyle w:val="TableParagraph"/>
              <w:rPr>
                <w:rFonts w:ascii="Times New Roman"/>
                <w:sz w:val="20"/>
              </w:rPr>
            </w:pPr>
          </w:p>
        </w:tc>
      </w:tr>
      <w:tr>
        <w:trPr>
          <w:trHeight w:val="551" w:hRule="atLeast"/>
        </w:trPr>
        <w:tc>
          <w:tcPr>
            <w:tcW w:w="1080" w:type="dxa"/>
          </w:tcPr>
          <w:p>
            <w:pPr>
              <w:pStyle w:val="TableParagraph"/>
              <w:spacing w:line="271" w:lineRule="exact"/>
              <w:ind w:left="107"/>
              <w:rPr>
                <w:sz w:val="24"/>
              </w:rPr>
            </w:pPr>
            <w:r>
              <w:rPr>
                <w:sz w:val="24"/>
              </w:rPr>
              <w:t>OR640</w:t>
            </w:r>
          </w:p>
        </w:tc>
        <w:tc>
          <w:tcPr>
            <w:tcW w:w="1800" w:type="dxa"/>
          </w:tcPr>
          <w:p>
            <w:pPr>
              <w:pStyle w:val="TableParagraph"/>
              <w:spacing w:line="271" w:lineRule="exact"/>
              <w:ind w:left="107"/>
              <w:rPr>
                <w:sz w:val="24"/>
              </w:rPr>
            </w:pPr>
            <w:r>
              <w:rPr>
                <w:sz w:val="24"/>
              </w:rPr>
              <w:t>Haystack</w:t>
            </w:r>
          </w:p>
        </w:tc>
        <w:tc>
          <w:tcPr>
            <w:tcW w:w="1080" w:type="dxa"/>
          </w:tcPr>
          <w:p>
            <w:pPr>
              <w:pStyle w:val="TableParagraph"/>
              <w:spacing w:line="271" w:lineRule="exact"/>
              <w:ind w:left="107"/>
              <w:rPr>
                <w:sz w:val="24"/>
              </w:rPr>
            </w:pPr>
            <w:r>
              <w:rPr>
                <w:sz w:val="24"/>
              </w:rPr>
              <w:t>352107</w:t>
            </w:r>
          </w:p>
        </w:tc>
        <w:tc>
          <w:tcPr>
            <w:tcW w:w="1080" w:type="dxa"/>
          </w:tcPr>
          <w:p>
            <w:pPr>
              <w:pStyle w:val="TableParagraph"/>
              <w:spacing w:line="271" w:lineRule="exact"/>
              <w:ind w:left="110"/>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5"/>
              <w:rPr>
                <w:sz w:val="24"/>
              </w:rPr>
            </w:pPr>
            <w:r>
              <w:rPr>
                <w:sz w:val="24"/>
              </w:rPr>
              <w:t>44.4494</w:t>
            </w:r>
          </w:p>
        </w:tc>
        <w:tc>
          <w:tcPr>
            <w:tcW w:w="1260" w:type="dxa"/>
          </w:tcPr>
          <w:p>
            <w:pPr>
              <w:pStyle w:val="TableParagraph"/>
              <w:spacing w:line="271" w:lineRule="exact"/>
              <w:ind w:left="107"/>
              <w:rPr>
                <w:sz w:val="24"/>
              </w:rPr>
            </w:pPr>
            <w:r>
              <w:rPr>
                <w:sz w:val="24"/>
              </w:rPr>
              <w:t>121.1297</w:t>
            </w:r>
          </w:p>
        </w:tc>
        <w:tc>
          <w:tcPr>
            <w:tcW w:w="888" w:type="dxa"/>
          </w:tcPr>
          <w:p>
            <w:pPr>
              <w:pStyle w:val="TableParagraph"/>
              <w:spacing w:line="271" w:lineRule="exact"/>
              <w:ind w:left="211"/>
              <w:rPr>
                <w:sz w:val="24"/>
              </w:rPr>
            </w:pPr>
            <w:r>
              <w:rPr>
                <w:sz w:val="24"/>
              </w:rPr>
              <w:t>3240</w:t>
            </w:r>
          </w:p>
        </w:tc>
        <w:tc>
          <w:tcPr>
            <w:tcW w:w="1452" w:type="dxa"/>
          </w:tcPr>
          <w:p>
            <w:pPr>
              <w:pStyle w:val="TableParagraph"/>
              <w:spacing w:line="271" w:lineRule="exact"/>
              <w:ind w:left="107"/>
              <w:rPr>
                <w:sz w:val="24"/>
              </w:rPr>
            </w:pPr>
            <w:r>
              <w:rPr>
                <w:sz w:val="24"/>
              </w:rPr>
              <w:t>Flat</w:t>
            </w:r>
          </w:p>
        </w:tc>
      </w:tr>
      <w:tr>
        <w:trPr>
          <w:trHeight w:val="551" w:hRule="atLeast"/>
        </w:trPr>
        <w:tc>
          <w:tcPr>
            <w:tcW w:w="1080" w:type="dxa"/>
          </w:tcPr>
          <w:p>
            <w:pPr>
              <w:pStyle w:val="TableParagraph"/>
              <w:spacing w:line="271" w:lineRule="exact"/>
              <w:ind w:left="107"/>
              <w:rPr>
                <w:sz w:val="24"/>
              </w:rPr>
            </w:pPr>
            <w:r>
              <w:rPr>
                <w:sz w:val="24"/>
              </w:rPr>
              <w:t>OR640</w:t>
            </w:r>
          </w:p>
        </w:tc>
        <w:tc>
          <w:tcPr>
            <w:tcW w:w="1800" w:type="dxa"/>
          </w:tcPr>
          <w:p>
            <w:pPr>
              <w:pStyle w:val="TableParagraph"/>
              <w:spacing w:line="271" w:lineRule="exact"/>
              <w:ind w:left="107"/>
              <w:rPr>
                <w:sz w:val="24"/>
              </w:rPr>
            </w:pPr>
            <w:r>
              <w:rPr>
                <w:sz w:val="24"/>
              </w:rPr>
              <w:t>Brown’s Well</w:t>
            </w:r>
          </w:p>
        </w:tc>
        <w:tc>
          <w:tcPr>
            <w:tcW w:w="1080" w:type="dxa"/>
          </w:tcPr>
          <w:p>
            <w:pPr>
              <w:pStyle w:val="TableParagraph"/>
              <w:spacing w:line="271" w:lineRule="exact"/>
              <w:ind w:left="107"/>
              <w:rPr>
                <w:sz w:val="24"/>
              </w:rPr>
            </w:pPr>
            <w:r>
              <w:rPr>
                <w:sz w:val="24"/>
              </w:rPr>
              <w:t>353428</w:t>
            </w:r>
          </w:p>
        </w:tc>
        <w:tc>
          <w:tcPr>
            <w:tcW w:w="1080" w:type="dxa"/>
          </w:tcPr>
          <w:p>
            <w:pPr>
              <w:pStyle w:val="TableParagraph"/>
              <w:spacing w:line="271" w:lineRule="exact"/>
              <w:ind w:left="110"/>
              <w:rPr>
                <w:sz w:val="24"/>
              </w:rPr>
            </w:pPr>
            <w:r>
              <w:rPr>
                <w:sz w:val="24"/>
              </w:rPr>
              <w:t>RAWS</w:t>
            </w:r>
          </w:p>
        </w:tc>
        <w:tc>
          <w:tcPr>
            <w:tcW w:w="977" w:type="dxa"/>
          </w:tcPr>
          <w:p>
            <w:pPr>
              <w:pStyle w:val="TableParagraph"/>
              <w:spacing w:line="271" w:lineRule="exact"/>
              <w:ind w:left="107"/>
              <w:rPr>
                <w:sz w:val="24"/>
              </w:rPr>
            </w:pPr>
            <w:r>
              <w:rPr>
                <w:sz w:val="24"/>
              </w:rPr>
              <w:t>BLM</w:t>
            </w:r>
          </w:p>
        </w:tc>
        <w:tc>
          <w:tcPr>
            <w:tcW w:w="1183" w:type="dxa"/>
          </w:tcPr>
          <w:p>
            <w:pPr>
              <w:pStyle w:val="TableParagraph"/>
              <w:spacing w:line="271" w:lineRule="exact"/>
              <w:ind w:left="105"/>
              <w:rPr>
                <w:sz w:val="24"/>
              </w:rPr>
            </w:pPr>
            <w:r>
              <w:rPr>
                <w:sz w:val="24"/>
              </w:rPr>
              <w:t>43.5628</w:t>
            </w:r>
          </w:p>
        </w:tc>
        <w:tc>
          <w:tcPr>
            <w:tcW w:w="1260" w:type="dxa"/>
          </w:tcPr>
          <w:p>
            <w:pPr>
              <w:pStyle w:val="TableParagraph"/>
              <w:spacing w:line="271" w:lineRule="exact"/>
              <w:ind w:left="107"/>
              <w:rPr>
                <w:sz w:val="24"/>
              </w:rPr>
            </w:pPr>
            <w:r>
              <w:rPr>
                <w:sz w:val="24"/>
              </w:rPr>
              <w:t>121.2360</w:t>
            </w:r>
          </w:p>
        </w:tc>
        <w:tc>
          <w:tcPr>
            <w:tcW w:w="888" w:type="dxa"/>
          </w:tcPr>
          <w:p>
            <w:pPr>
              <w:pStyle w:val="TableParagraph"/>
              <w:spacing w:line="271" w:lineRule="exact"/>
              <w:ind w:left="211"/>
              <w:rPr>
                <w:sz w:val="24"/>
              </w:rPr>
            </w:pPr>
            <w:r>
              <w:rPr>
                <w:sz w:val="24"/>
              </w:rPr>
              <w:t>4500</w:t>
            </w:r>
          </w:p>
        </w:tc>
        <w:tc>
          <w:tcPr>
            <w:tcW w:w="1452" w:type="dxa"/>
          </w:tcPr>
          <w:p>
            <w:pPr>
              <w:pStyle w:val="TableParagraph"/>
              <w:spacing w:line="276" w:lineRule="exact"/>
              <w:ind w:left="107" w:right="729"/>
              <w:rPr>
                <w:sz w:val="24"/>
              </w:rPr>
            </w:pPr>
            <w:r>
              <w:rPr>
                <w:sz w:val="24"/>
              </w:rPr>
              <w:t>Flat knob-</w:t>
            </w:r>
          </w:p>
        </w:tc>
      </w:tr>
      <w:tr>
        <w:trPr>
          <w:trHeight w:val="585" w:hRule="atLeast"/>
        </w:trPr>
        <w:tc>
          <w:tcPr>
            <w:tcW w:w="1080" w:type="dxa"/>
          </w:tcPr>
          <w:p>
            <w:pPr>
              <w:pStyle w:val="TableParagraph"/>
              <w:spacing w:line="271" w:lineRule="exact"/>
              <w:ind w:left="107"/>
              <w:rPr>
                <w:sz w:val="24"/>
              </w:rPr>
            </w:pPr>
            <w:r>
              <w:rPr>
                <w:sz w:val="24"/>
              </w:rPr>
              <w:t>OR640</w:t>
            </w:r>
          </w:p>
        </w:tc>
        <w:tc>
          <w:tcPr>
            <w:tcW w:w="1800" w:type="dxa"/>
          </w:tcPr>
          <w:p>
            <w:pPr>
              <w:pStyle w:val="TableParagraph"/>
              <w:spacing w:line="271" w:lineRule="exact"/>
              <w:ind w:left="107"/>
              <w:rPr>
                <w:sz w:val="24"/>
              </w:rPr>
            </w:pPr>
            <w:r>
              <w:rPr>
                <w:sz w:val="24"/>
              </w:rPr>
              <w:t>Cold Springs</w:t>
            </w:r>
          </w:p>
        </w:tc>
        <w:tc>
          <w:tcPr>
            <w:tcW w:w="1080" w:type="dxa"/>
          </w:tcPr>
          <w:p>
            <w:pPr>
              <w:pStyle w:val="TableParagraph"/>
              <w:spacing w:line="271" w:lineRule="exact"/>
              <w:ind w:left="107"/>
              <w:rPr>
                <w:sz w:val="24"/>
              </w:rPr>
            </w:pPr>
            <w:r>
              <w:rPr>
                <w:sz w:val="24"/>
              </w:rPr>
              <w:t>352701</w:t>
            </w:r>
          </w:p>
        </w:tc>
        <w:tc>
          <w:tcPr>
            <w:tcW w:w="1080" w:type="dxa"/>
          </w:tcPr>
          <w:p>
            <w:pPr>
              <w:pStyle w:val="TableParagraph"/>
              <w:spacing w:line="271" w:lineRule="exact"/>
              <w:ind w:left="110"/>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5"/>
              <w:rPr>
                <w:sz w:val="24"/>
              </w:rPr>
            </w:pPr>
            <w:r>
              <w:rPr>
                <w:sz w:val="24"/>
              </w:rPr>
              <w:t>44.3550</w:t>
            </w:r>
          </w:p>
        </w:tc>
        <w:tc>
          <w:tcPr>
            <w:tcW w:w="1260" w:type="dxa"/>
          </w:tcPr>
          <w:p>
            <w:pPr>
              <w:pStyle w:val="TableParagraph"/>
              <w:spacing w:line="271" w:lineRule="exact"/>
              <w:ind w:left="107"/>
              <w:rPr>
                <w:sz w:val="24"/>
              </w:rPr>
            </w:pPr>
            <w:r>
              <w:rPr>
                <w:sz w:val="24"/>
              </w:rPr>
              <w:t>120.1335</w:t>
            </w:r>
          </w:p>
        </w:tc>
        <w:tc>
          <w:tcPr>
            <w:tcW w:w="888" w:type="dxa"/>
          </w:tcPr>
          <w:p>
            <w:pPr>
              <w:pStyle w:val="TableParagraph"/>
              <w:spacing w:line="271" w:lineRule="exact"/>
              <w:ind w:left="211"/>
              <w:rPr>
                <w:sz w:val="24"/>
              </w:rPr>
            </w:pPr>
            <w:r>
              <w:rPr>
                <w:sz w:val="24"/>
              </w:rPr>
              <w:t>4695</w:t>
            </w:r>
          </w:p>
        </w:tc>
        <w:tc>
          <w:tcPr>
            <w:tcW w:w="1452" w:type="dxa"/>
          </w:tcPr>
          <w:p>
            <w:pPr>
              <w:pStyle w:val="TableParagraph"/>
              <w:spacing w:line="271" w:lineRule="exact"/>
              <w:ind w:left="107"/>
              <w:rPr>
                <w:sz w:val="24"/>
              </w:rPr>
            </w:pPr>
            <w:r>
              <w:rPr>
                <w:sz w:val="24"/>
              </w:rPr>
              <w:t>Flat</w:t>
            </w:r>
          </w:p>
        </w:tc>
      </w:tr>
      <w:tr>
        <w:trPr>
          <w:trHeight w:val="551" w:hRule="atLeast"/>
        </w:trPr>
        <w:tc>
          <w:tcPr>
            <w:tcW w:w="1080" w:type="dxa"/>
          </w:tcPr>
          <w:p>
            <w:pPr>
              <w:pStyle w:val="TableParagraph"/>
              <w:spacing w:line="271" w:lineRule="exact"/>
              <w:ind w:left="107"/>
              <w:rPr>
                <w:sz w:val="24"/>
              </w:rPr>
            </w:pPr>
            <w:r>
              <w:rPr>
                <w:sz w:val="24"/>
              </w:rPr>
              <w:t>OR640</w:t>
            </w:r>
          </w:p>
        </w:tc>
        <w:tc>
          <w:tcPr>
            <w:tcW w:w="1800" w:type="dxa"/>
          </w:tcPr>
          <w:p>
            <w:pPr>
              <w:pStyle w:val="TableParagraph"/>
              <w:spacing w:line="271" w:lineRule="exact"/>
              <w:ind w:left="107"/>
              <w:rPr>
                <w:sz w:val="24"/>
              </w:rPr>
            </w:pPr>
            <w:r>
              <w:rPr>
                <w:sz w:val="24"/>
              </w:rPr>
              <w:t>Salt Creek</w:t>
            </w:r>
          </w:p>
        </w:tc>
        <w:tc>
          <w:tcPr>
            <w:tcW w:w="1080" w:type="dxa"/>
          </w:tcPr>
          <w:p>
            <w:pPr>
              <w:pStyle w:val="TableParagraph"/>
              <w:spacing w:line="271" w:lineRule="exact"/>
              <w:ind w:left="107"/>
              <w:rPr>
                <w:sz w:val="24"/>
              </w:rPr>
            </w:pPr>
            <w:r>
              <w:rPr>
                <w:sz w:val="24"/>
              </w:rPr>
              <w:t>352712</w:t>
            </w:r>
          </w:p>
        </w:tc>
        <w:tc>
          <w:tcPr>
            <w:tcW w:w="1080" w:type="dxa"/>
          </w:tcPr>
          <w:p>
            <w:pPr>
              <w:pStyle w:val="TableParagraph"/>
              <w:spacing w:line="271" w:lineRule="exact"/>
              <w:ind w:left="110"/>
              <w:rPr>
                <w:sz w:val="24"/>
              </w:rPr>
            </w:pPr>
            <w:r>
              <w:rPr>
                <w:sz w:val="24"/>
              </w:rPr>
              <w:t>RAWS</w:t>
            </w:r>
          </w:p>
        </w:tc>
        <w:tc>
          <w:tcPr>
            <w:tcW w:w="977" w:type="dxa"/>
          </w:tcPr>
          <w:p>
            <w:pPr>
              <w:pStyle w:val="TableParagraph"/>
              <w:spacing w:line="271" w:lineRule="exact"/>
              <w:ind w:left="107"/>
              <w:rPr>
                <w:sz w:val="24"/>
              </w:rPr>
            </w:pPr>
            <w:r>
              <w:rPr>
                <w:sz w:val="24"/>
              </w:rPr>
              <w:t>BLM</w:t>
            </w:r>
          </w:p>
        </w:tc>
        <w:tc>
          <w:tcPr>
            <w:tcW w:w="1183" w:type="dxa"/>
          </w:tcPr>
          <w:p>
            <w:pPr>
              <w:pStyle w:val="TableParagraph"/>
              <w:spacing w:line="271" w:lineRule="exact"/>
              <w:ind w:left="105"/>
              <w:rPr>
                <w:sz w:val="24"/>
              </w:rPr>
            </w:pPr>
            <w:r>
              <w:rPr>
                <w:sz w:val="24"/>
              </w:rPr>
              <w:t>44.0467</w:t>
            </w:r>
          </w:p>
        </w:tc>
        <w:tc>
          <w:tcPr>
            <w:tcW w:w="1260" w:type="dxa"/>
          </w:tcPr>
          <w:p>
            <w:pPr>
              <w:pStyle w:val="TableParagraph"/>
              <w:spacing w:line="271" w:lineRule="exact"/>
              <w:ind w:left="107"/>
              <w:rPr>
                <w:sz w:val="24"/>
              </w:rPr>
            </w:pPr>
            <w:r>
              <w:rPr>
                <w:sz w:val="24"/>
              </w:rPr>
              <w:t>120.6694</w:t>
            </w:r>
          </w:p>
        </w:tc>
        <w:tc>
          <w:tcPr>
            <w:tcW w:w="888" w:type="dxa"/>
          </w:tcPr>
          <w:p>
            <w:pPr>
              <w:pStyle w:val="TableParagraph"/>
              <w:spacing w:line="271" w:lineRule="exact"/>
              <w:ind w:left="211"/>
              <w:rPr>
                <w:sz w:val="24"/>
              </w:rPr>
            </w:pPr>
            <w:r>
              <w:rPr>
                <w:sz w:val="24"/>
              </w:rPr>
              <w:t>4200</w:t>
            </w:r>
          </w:p>
        </w:tc>
        <w:tc>
          <w:tcPr>
            <w:tcW w:w="1452" w:type="dxa"/>
          </w:tcPr>
          <w:p>
            <w:pPr>
              <w:pStyle w:val="TableParagraph"/>
              <w:spacing w:line="271" w:lineRule="exact"/>
              <w:ind w:left="107"/>
              <w:rPr>
                <w:sz w:val="24"/>
              </w:rPr>
            </w:pPr>
            <w:r>
              <w:rPr>
                <w:sz w:val="24"/>
              </w:rPr>
              <w:t>Flat</w:t>
            </w:r>
          </w:p>
        </w:tc>
      </w:tr>
      <w:tr>
        <w:trPr>
          <w:trHeight w:val="554" w:hRule="atLeast"/>
        </w:trPr>
        <w:tc>
          <w:tcPr>
            <w:tcW w:w="1080" w:type="dxa"/>
          </w:tcPr>
          <w:p>
            <w:pPr>
              <w:pStyle w:val="TableParagraph"/>
              <w:spacing w:line="271" w:lineRule="exact"/>
              <w:ind w:left="107"/>
              <w:rPr>
                <w:sz w:val="24"/>
              </w:rPr>
            </w:pPr>
            <w:r>
              <w:rPr>
                <w:sz w:val="24"/>
              </w:rPr>
              <w:t>OR640</w:t>
            </w:r>
          </w:p>
        </w:tc>
        <w:tc>
          <w:tcPr>
            <w:tcW w:w="1800" w:type="dxa"/>
          </w:tcPr>
          <w:p>
            <w:pPr>
              <w:pStyle w:val="TableParagraph"/>
              <w:spacing w:line="271" w:lineRule="exact"/>
              <w:ind w:left="107"/>
              <w:rPr>
                <w:sz w:val="24"/>
              </w:rPr>
            </w:pPr>
            <w:r>
              <w:rPr>
                <w:sz w:val="24"/>
              </w:rPr>
              <w:t>Badger Creek</w:t>
            </w:r>
          </w:p>
        </w:tc>
        <w:tc>
          <w:tcPr>
            <w:tcW w:w="1080" w:type="dxa"/>
          </w:tcPr>
          <w:p>
            <w:pPr>
              <w:pStyle w:val="TableParagraph"/>
              <w:spacing w:line="271" w:lineRule="exact"/>
              <w:ind w:left="107"/>
              <w:rPr>
                <w:sz w:val="24"/>
              </w:rPr>
            </w:pPr>
            <w:r>
              <w:rPr>
                <w:sz w:val="24"/>
              </w:rPr>
              <w:t>352711</w:t>
            </w:r>
          </w:p>
        </w:tc>
        <w:tc>
          <w:tcPr>
            <w:tcW w:w="1080" w:type="dxa"/>
          </w:tcPr>
          <w:p>
            <w:pPr>
              <w:pStyle w:val="TableParagraph"/>
              <w:spacing w:line="271" w:lineRule="exact"/>
              <w:ind w:left="110"/>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5"/>
              <w:rPr>
                <w:sz w:val="24"/>
              </w:rPr>
            </w:pPr>
            <w:r>
              <w:rPr>
                <w:sz w:val="24"/>
              </w:rPr>
              <w:t>44.0311</w:t>
            </w:r>
          </w:p>
        </w:tc>
        <w:tc>
          <w:tcPr>
            <w:tcW w:w="1260" w:type="dxa"/>
          </w:tcPr>
          <w:p>
            <w:pPr>
              <w:pStyle w:val="TableParagraph"/>
              <w:spacing w:line="271" w:lineRule="exact"/>
              <w:ind w:left="107"/>
              <w:rPr>
                <w:sz w:val="24"/>
              </w:rPr>
            </w:pPr>
            <w:r>
              <w:rPr>
                <w:sz w:val="24"/>
              </w:rPr>
              <w:t>120.4083</w:t>
            </w:r>
          </w:p>
        </w:tc>
        <w:tc>
          <w:tcPr>
            <w:tcW w:w="888" w:type="dxa"/>
          </w:tcPr>
          <w:p>
            <w:pPr>
              <w:pStyle w:val="TableParagraph"/>
              <w:spacing w:line="271" w:lineRule="exact"/>
              <w:ind w:left="211"/>
              <w:rPr>
                <w:sz w:val="24"/>
              </w:rPr>
            </w:pPr>
            <w:r>
              <w:rPr>
                <w:sz w:val="24"/>
              </w:rPr>
              <w:t>5680</w:t>
            </w:r>
          </w:p>
        </w:tc>
        <w:tc>
          <w:tcPr>
            <w:tcW w:w="1452" w:type="dxa"/>
          </w:tcPr>
          <w:p>
            <w:pPr>
              <w:pStyle w:val="TableParagraph"/>
              <w:spacing w:line="276" w:lineRule="exact"/>
              <w:ind w:left="107" w:right="274"/>
              <w:rPr>
                <w:sz w:val="24"/>
              </w:rPr>
            </w:pPr>
            <w:r>
              <w:rPr>
                <w:sz w:val="24"/>
              </w:rPr>
              <w:t>Midslope- flat</w:t>
            </w:r>
          </w:p>
        </w:tc>
      </w:tr>
      <w:tr>
        <w:trPr>
          <w:trHeight w:val="551" w:hRule="atLeast"/>
        </w:trPr>
        <w:tc>
          <w:tcPr>
            <w:tcW w:w="1080" w:type="dxa"/>
          </w:tcPr>
          <w:p>
            <w:pPr>
              <w:pStyle w:val="TableParagraph"/>
              <w:spacing w:line="271" w:lineRule="exact"/>
              <w:ind w:left="107"/>
              <w:rPr>
                <w:sz w:val="24"/>
              </w:rPr>
            </w:pPr>
            <w:r>
              <w:rPr>
                <w:sz w:val="24"/>
              </w:rPr>
              <w:t>OR640</w:t>
            </w:r>
          </w:p>
        </w:tc>
        <w:tc>
          <w:tcPr>
            <w:tcW w:w="1800" w:type="dxa"/>
          </w:tcPr>
          <w:p>
            <w:pPr>
              <w:pStyle w:val="TableParagraph"/>
              <w:spacing w:line="271" w:lineRule="exact"/>
              <w:ind w:left="107"/>
              <w:rPr>
                <w:sz w:val="24"/>
              </w:rPr>
            </w:pPr>
            <w:r>
              <w:rPr>
                <w:sz w:val="24"/>
              </w:rPr>
              <w:t>Slide</w:t>
            </w:r>
          </w:p>
          <w:p>
            <w:pPr>
              <w:pStyle w:val="TableParagraph"/>
              <w:spacing w:line="260" w:lineRule="exact"/>
              <w:ind w:left="107"/>
              <w:rPr>
                <w:sz w:val="24"/>
              </w:rPr>
            </w:pPr>
            <w:r>
              <w:rPr>
                <w:sz w:val="24"/>
              </w:rPr>
              <w:t>Mountain</w:t>
            </w:r>
          </w:p>
        </w:tc>
        <w:tc>
          <w:tcPr>
            <w:tcW w:w="1080" w:type="dxa"/>
          </w:tcPr>
          <w:p>
            <w:pPr>
              <w:pStyle w:val="TableParagraph"/>
              <w:spacing w:line="271" w:lineRule="exact"/>
              <w:ind w:left="107"/>
              <w:rPr>
                <w:sz w:val="24"/>
              </w:rPr>
            </w:pPr>
            <w:r>
              <w:rPr>
                <w:sz w:val="24"/>
              </w:rPr>
              <w:t>352207</w:t>
            </w:r>
          </w:p>
        </w:tc>
        <w:tc>
          <w:tcPr>
            <w:tcW w:w="1080" w:type="dxa"/>
          </w:tcPr>
          <w:p>
            <w:pPr>
              <w:pStyle w:val="TableParagraph"/>
              <w:spacing w:line="271" w:lineRule="exact"/>
              <w:ind w:left="110"/>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5"/>
              <w:rPr>
                <w:sz w:val="24"/>
              </w:rPr>
            </w:pPr>
            <w:r>
              <w:rPr>
                <w:sz w:val="24"/>
              </w:rPr>
              <w:t>44.4622</w:t>
            </w:r>
          </w:p>
        </w:tc>
        <w:tc>
          <w:tcPr>
            <w:tcW w:w="1260" w:type="dxa"/>
          </w:tcPr>
          <w:p>
            <w:pPr>
              <w:pStyle w:val="TableParagraph"/>
              <w:spacing w:line="271" w:lineRule="exact"/>
              <w:ind w:left="107"/>
              <w:rPr>
                <w:sz w:val="24"/>
              </w:rPr>
            </w:pPr>
            <w:r>
              <w:rPr>
                <w:sz w:val="24"/>
              </w:rPr>
              <w:t>120.2945</w:t>
            </w:r>
          </w:p>
        </w:tc>
        <w:tc>
          <w:tcPr>
            <w:tcW w:w="888" w:type="dxa"/>
          </w:tcPr>
          <w:p>
            <w:pPr>
              <w:pStyle w:val="TableParagraph"/>
              <w:spacing w:line="271" w:lineRule="exact"/>
              <w:ind w:left="211"/>
              <w:rPr>
                <w:sz w:val="24"/>
              </w:rPr>
            </w:pPr>
            <w:r>
              <w:rPr>
                <w:sz w:val="24"/>
              </w:rPr>
              <w:t>5700</w:t>
            </w:r>
          </w:p>
        </w:tc>
        <w:tc>
          <w:tcPr>
            <w:tcW w:w="1452" w:type="dxa"/>
          </w:tcPr>
          <w:p>
            <w:pPr>
              <w:pStyle w:val="TableParagraph"/>
              <w:spacing w:line="271" w:lineRule="exact"/>
              <w:ind w:left="107"/>
              <w:rPr>
                <w:sz w:val="24"/>
              </w:rPr>
            </w:pPr>
            <w:r>
              <w:rPr>
                <w:sz w:val="24"/>
              </w:rPr>
              <w:t>Upr</w:t>
            </w:r>
          </w:p>
          <w:p>
            <w:pPr>
              <w:pStyle w:val="TableParagraph"/>
              <w:spacing w:line="260" w:lineRule="exact"/>
              <w:ind w:left="107"/>
              <w:rPr>
                <w:sz w:val="24"/>
              </w:rPr>
            </w:pPr>
            <w:r>
              <w:rPr>
                <w:sz w:val="24"/>
              </w:rPr>
              <w:t>slope-</w:t>
            </w:r>
          </w:p>
        </w:tc>
      </w:tr>
      <w:tr>
        <w:trPr>
          <w:trHeight w:val="551" w:hRule="atLeast"/>
        </w:trPr>
        <w:tc>
          <w:tcPr>
            <w:tcW w:w="1080" w:type="dxa"/>
          </w:tcPr>
          <w:p>
            <w:pPr>
              <w:pStyle w:val="TableParagraph"/>
              <w:spacing w:line="271" w:lineRule="exact"/>
              <w:ind w:left="107"/>
              <w:rPr>
                <w:sz w:val="24"/>
              </w:rPr>
            </w:pPr>
            <w:r>
              <w:rPr>
                <w:sz w:val="24"/>
              </w:rPr>
              <w:t>OR640</w:t>
            </w:r>
          </w:p>
        </w:tc>
        <w:tc>
          <w:tcPr>
            <w:tcW w:w="1800" w:type="dxa"/>
          </w:tcPr>
          <w:p>
            <w:pPr>
              <w:pStyle w:val="TableParagraph"/>
              <w:spacing w:line="271" w:lineRule="exact"/>
              <w:ind w:left="107"/>
              <w:rPr>
                <w:sz w:val="24"/>
              </w:rPr>
            </w:pPr>
            <w:r>
              <w:rPr>
                <w:sz w:val="24"/>
              </w:rPr>
              <w:t>Brer Rabbit</w:t>
            </w:r>
          </w:p>
        </w:tc>
        <w:tc>
          <w:tcPr>
            <w:tcW w:w="1080" w:type="dxa"/>
          </w:tcPr>
          <w:p>
            <w:pPr>
              <w:pStyle w:val="TableParagraph"/>
              <w:spacing w:line="271" w:lineRule="exact"/>
              <w:ind w:left="107"/>
              <w:rPr>
                <w:sz w:val="24"/>
              </w:rPr>
            </w:pPr>
            <w:r>
              <w:rPr>
                <w:sz w:val="24"/>
              </w:rPr>
              <w:t>352208</w:t>
            </w:r>
          </w:p>
        </w:tc>
        <w:tc>
          <w:tcPr>
            <w:tcW w:w="1080" w:type="dxa"/>
          </w:tcPr>
          <w:p>
            <w:pPr>
              <w:pStyle w:val="TableParagraph"/>
              <w:spacing w:line="271" w:lineRule="exact"/>
              <w:ind w:left="110"/>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5"/>
              <w:rPr>
                <w:sz w:val="24"/>
              </w:rPr>
            </w:pPr>
            <w:r>
              <w:rPr>
                <w:sz w:val="24"/>
              </w:rPr>
              <w:t>44.333</w:t>
            </w:r>
          </w:p>
        </w:tc>
        <w:tc>
          <w:tcPr>
            <w:tcW w:w="1260" w:type="dxa"/>
          </w:tcPr>
          <w:p>
            <w:pPr>
              <w:pStyle w:val="TableParagraph"/>
              <w:spacing w:line="271" w:lineRule="exact"/>
              <w:ind w:left="107"/>
              <w:rPr>
                <w:sz w:val="24"/>
              </w:rPr>
            </w:pPr>
            <w:r>
              <w:rPr>
                <w:sz w:val="24"/>
              </w:rPr>
              <w:t>119.770</w:t>
            </w:r>
          </w:p>
        </w:tc>
        <w:tc>
          <w:tcPr>
            <w:tcW w:w="888" w:type="dxa"/>
          </w:tcPr>
          <w:p>
            <w:pPr>
              <w:pStyle w:val="TableParagraph"/>
              <w:spacing w:line="271" w:lineRule="exact"/>
              <w:ind w:left="211"/>
              <w:rPr>
                <w:sz w:val="24"/>
              </w:rPr>
            </w:pPr>
            <w:r>
              <w:rPr>
                <w:sz w:val="24"/>
              </w:rPr>
              <w:t>5900</w:t>
            </w:r>
          </w:p>
        </w:tc>
        <w:tc>
          <w:tcPr>
            <w:tcW w:w="1452" w:type="dxa"/>
          </w:tcPr>
          <w:p>
            <w:pPr>
              <w:pStyle w:val="TableParagraph"/>
              <w:spacing w:line="271" w:lineRule="exact"/>
              <w:ind w:left="107"/>
              <w:rPr>
                <w:sz w:val="24"/>
              </w:rPr>
            </w:pPr>
            <w:r>
              <w:rPr>
                <w:sz w:val="24"/>
              </w:rPr>
              <w:t>Valley-S</w:t>
            </w:r>
          </w:p>
        </w:tc>
      </w:tr>
      <w:tr>
        <w:trPr>
          <w:trHeight w:val="553" w:hRule="atLeast"/>
        </w:trPr>
        <w:tc>
          <w:tcPr>
            <w:tcW w:w="1080" w:type="dxa"/>
          </w:tcPr>
          <w:p>
            <w:pPr>
              <w:pStyle w:val="TableParagraph"/>
              <w:spacing w:line="274" w:lineRule="exact"/>
              <w:ind w:left="107"/>
              <w:rPr>
                <w:sz w:val="24"/>
              </w:rPr>
            </w:pPr>
            <w:r>
              <w:rPr>
                <w:sz w:val="24"/>
              </w:rPr>
              <w:t>OR640</w:t>
            </w:r>
          </w:p>
        </w:tc>
        <w:tc>
          <w:tcPr>
            <w:tcW w:w="1800" w:type="dxa"/>
          </w:tcPr>
          <w:p>
            <w:pPr>
              <w:pStyle w:val="TableParagraph"/>
              <w:spacing w:line="274" w:lineRule="exact"/>
              <w:ind w:left="107"/>
              <w:rPr>
                <w:sz w:val="24"/>
              </w:rPr>
            </w:pPr>
            <w:r>
              <w:rPr>
                <w:sz w:val="24"/>
              </w:rPr>
              <w:t>Board Hollow</w:t>
            </w:r>
          </w:p>
        </w:tc>
        <w:tc>
          <w:tcPr>
            <w:tcW w:w="1080" w:type="dxa"/>
          </w:tcPr>
          <w:p>
            <w:pPr>
              <w:pStyle w:val="TableParagraph"/>
              <w:spacing w:line="274" w:lineRule="exact"/>
              <w:ind w:left="107"/>
              <w:rPr>
                <w:sz w:val="24"/>
              </w:rPr>
            </w:pPr>
            <w:r>
              <w:rPr>
                <w:sz w:val="24"/>
              </w:rPr>
              <w:t>350915</w:t>
            </w:r>
          </w:p>
        </w:tc>
        <w:tc>
          <w:tcPr>
            <w:tcW w:w="1080" w:type="dxa"/>
          </w:tcPr>
          <w:p>
            <w:pPr>
              <w:pStyle w:val="TableParagraph"/>
              <w:spacing w:line="274" w:lineRule="exact"/>
              <w:ind w:left="110"/>
              <w:rPr>
                <w:sz w:val="24"/>
              </w:rPr>
            </w:pPr>
            <w:r>
              <w:rPr>
                <w:sz w:val="24"/>
              </w:rPr>
              <w:t>RAWS</w:t>
            </w:r>
          </w:p>
        </w:tc>
        <w:tc>
          <w:tcPr>
            <w:tcW w:w="977" w:type="dxa"/>
          </w:tcPr>
          <w:p>
            <w:pPr>
              <w:pStyle w:val="TableParagraph"/>
              <w:spacing w:line="274" w:lineRule="exact"/>
              <w:ind w:left="107"/>
              <w:rPr>
                <w:sz w:val="24"/>
              </w:rPr>
            </w:pPr>
            <w:r>
              <w:rPr>
                <w:sz w:val="24"/>
              </w:rPr>
              <w:t>ODF</w:t>
            </w:r>
          </w:p>
        </w:tc>
        <w:tc>
          <w:tcPr>
            <w:tcW w:w="1183" w:type="dxa"/>
          </w:tcPr>
          <w:p>
            <w:pPr>
              <w:pStyle w:val="TableParagraph"/>
              <w:spacing w:line="274" w:lineRule="exact"/>
              <w:ind w:left="105"/>
              <w:rPr>
                <w:sz w:val="24"/>
              </w:rPr>
            </w:pPr>
            <w:r>
              <w:rPr>
                <w:sz w:val="24"/>
              </w:rPr>
              <w:t>44.6038</w:t>
            </w:r>
          </w:p>
        </w:tc>
        <w:tc>
          <w:tcPr>
            <w:tcW w:w="1260" w:type="dxa"/>
          </w:tcPr>
          <w:p>
            <w:pPr>
              <w:pStyle w:val="TableParagraph"/>
              <w:spacing w:line="274" w:lineRule="exact"/>
              <w:ind w:left="107"/>
              <w:rPr>
                <w:sz w:val="24"/>
              </w:rPr>
            </w:pPr>
            <w:r>
              <w:rPr>
                <w:sz w:val="24"/>
              </w:rPr>
              <w:t>120.6847</w:t>
            </w:r>
          </w:p>
        </w:tc>
        <w:tc>
          <w:tcPr>
            <w:tcW w:w="888" w:type="dxa"/>
          </w:tcPr>
          <w:p>
            <w:pPr>
              <w:pStyle w:val="TableParagraph"/>
              <w:spacing w:line="274" w:lineRule="exact"/>
              <w:ind w:left="211"/>
              <w:rPr>
                <w:sz w:val="24"/>
              </w:rPr>
            </w:pPr>
            <w:r>
              <w:rPr>
                <w:sz w:val="24"/>
              </w:rPr>
              <w:t>4200</w:t>
            </w:r>
          </w:p>
        </w:tc>
        <w:tc>
          <w:tcPr>
            <w:tcW w:w="1452" w:type="dxa"/>
          </w:tcPr>
          <w:p>
            <w:pPr>
              <w:pStyle w:val="TableParagraph"/>
              <w:spacing w:line="274" w:lineRule="exact"/>
              <w:ind w:left="107"/>
              <w:rPr>
                <w:sz w:val="24"/>
              </w:rPr>
            </w:pPr>
            <w:r>
              <w:rPr>
                <w:sz w:val="24"/>
              </w:rPr>
              <w:t>Ridge-flat</w:t>
            </w:r>
          </w:p>
        </w:tc>
      </w:tr>
      <w:tr>
        <w:trPr>
          <w:trHeight w:val="275" w:hRule="atLeast"/>
        </w:trPr>
        <w:tc>
          <w:tcPr>
            <w:tcW w:w="1080" w:type="dxa"/>
          </w:tcPr>
          <w:p>
            <w:pPr>
              <w:pStyle w:val="TableParagraph"/>
              <w:rPr>
                <w:rFonts w:ascii="Times New Roman"/>
                <w:sz w:val="20"/>
              </w:rPr>
            </w:pPr>
          </w:p>
        </w:tc>
        <w:tc>
          <w:tcPr>
            <w:tcW w:w="1800" w:type="dxa"/>
          </w:tcPr>
          <w:p>
            <w:pPr>
              <w:pStyle w:val="TableParagraph"/>
              <w:rPr>
                <w:rFonts w:ascii="Times New Roman"/>
                <w:sz w:val="20"/>
              </w:rPr>
            </w:pPr>
          </w:p>
        </w:tc>
        <w:tc>
          <w:tcPr>
            <w:tcW w:w="1080" w:type="dxa"/>
          </w:tcPr>
          <w:p>
            <w:pPr>
              <w:pStyle w:val="TableParagraph"/>
              <w:rPr>
                <w:rFonts w:ascii="Times New Roman"/>
                <w:sz w:val="20"/>
              </w:rPr>
            </w:pPr>
          </w:p>
        </w:tc>
        <w:tc>
          <w:tcPr>
            <w:tcW w:w="1080" w:type="dxa"/>
          </w:tcPr>
          <w:p>
            <w:pPr>
              <w:pStyle w:val="TableParagraph"/>
              <w:rPr>
                <w:rFonts w:ascii="Times New Roman"/>
                <w:sz w:val="20"/>
              </w:rPr>
            </w:pPr>
          </w:p>
        </w:tc>
        <w:tc>
          <w:tcPr>
            <w:tcW w:w="977" w:type="dxa"/>
          </w:tcPr>
          <w:p>
            <w:pPr>
              <w:pStyle w:val="TableParagraph"/>
              <w:rPr>
                <w:rFonts w:ascii="Times New Roman"/>
                <w:sz w:val="20"/>
              </w:rPr>
            </w:pPr>
          </w:p>
        </w:tc>
        <w:tc>
          <w:tcPr>
            <w:tcW w:w="1183" w:type="dxa"/>
          </w:tcPr>
          <w:p>
            <w:pPr>
              <w:pStyle w:val="TableParagraph"/>
              <w:rPr>
                <w:rFonts w:ascii="Times New Roman"/>
                <w:sz w:val="20"/>
              </w:rPr>
            </w:pPr>
          </w:p>
        </w:tc>
        <w:tc>
          <w:tcPr>
            <w:tcW w:w="1260" w:type="dxa"/>
          </w:tcPr>
          <w:p>
            <w:pPr>
              <w:pStyle w:val="TableParagraph"/>
              <w:rPr>
                <w:rFonts w:ascii="Times New Roman"/>
                <w:sz w:val="20"/>
              </w:rPr>
            </w:pPr>
          </w:p>
        </w:tc>
        <w:tc>
          <w:tcPr>
            <w:tcW w:w="888" w:type="dxa"/>
          </w:tcPr>
          <w:p>
            <w:pPr>
              <w:pStyle w:val="TableParagraph"/>
              <w:rPr>
                <w:rFonts w:ascii="Times New Roman"/>
                <w:sz w:val="20"/>
              </w:rPr>
            </w:pPr>
          </w:p>
        </w:tc>
        <w:tc>
          <w:tcPr>
            <w:tcW w:w="1452" w:type="dxa"/>
          </w:tcPr>
          <w:p>
            <w:pPr>
              <w:pStyle w:val="TableParagraph"/>
              <w:rPr>
                <w:rFonts w:ascii="Times New Roman"/>
                <w:sz w:val="20"/>
              </w:rPr>
            </w:pPr>
          </w:p>
        </w:tc>
      </w:tr>
      <w:tr>
        <w:trPr>
          <w:trHeight w:val="551" w:hRule="atLeast"/>
        </w:trPr>
        <w:tc>
          <w:tcPr>
            <w:tcW w:w="1080" w:type="dxa"/>
          </w:tcPr>
          <w:p>
            <w:pPr>
              <w:pStyle w:val="TableParagraph"/>
              <w:spacing w:line="271" w:lineRule="exact"/>
              <w:ind w:left="107"/>
              <w:rPr>
                <w:sz w:val="24"/>
              </w:rPr>
            </w:pPr>
            <w:r>
              <w:rPr>
                <w:sz w:val="24"/>
              </w:rPr>
              <w:t>WA641</w:t>
            </w:r>
          </w:p>
        </w:tc>
        <w:tc>
          <w:tcPr>
            <w:tcW w:w="1800" w:type="dxa"/>
          </w:tcPr>
          <w:p>
            <w:pPr>
              <w:pStyle w:val="TableParagraph"/>
              <w:spacing w:line="271" w:lineRule="exact"/>
              <w:ind w:left="107"/>
              <w:rPr>
                <w:sz w:val="24"/>
              </w:rPr>
            </w:pPr>
            <w:r>
              <w:rPr>
                <w:sz w:val="24"/>
              </w:rPr>
              <w:t>Juniper Dunes</w:t>
            </w:r>
          </w:p>
        </w:tc>
        <w:tc>
          <w:tcPr>
            <w:tcW w:w="1080" w:type="dxa"/>
          </w:tcPr>
          <w:p>
            <w:pPr>
              <w:pStyle w:val="TableParagraph"/>
              <w:spacing w:line="271" w:lineRule="exact"/>
              <w:ind w:left="107"/>
              <w:rPr>
                <w:sz w:val="24"/>
              </w:rPr>
            </w:pPr>
            <w:r>
              <w:rPr>
                <w:sz w:val="24"/>
              </w:rPr>
              <w:t>453201</w:t>
            </w:r>
          </w:p>
        </w:tc>
        <w:tc>
          <w:tcPr>
            <w:tcW w:w="1080" w:type="dxa"/>
          </w:tcPr>
          <w:p>
            <w:pPr>
              <w:pStyle w:val="TableParagraph"/>
              <w:spacing w:line="271" w:lineRule="exact"/>
              <w:ind w:left="110"/>
              <w:rPr>
                <w:sz w:val="24"/>
              </w:rPr>
            </w:pPr>
            <w:r>
              <w:rPr>
                <w:sz w:val="24"/>
              </w:rPr>
              <w:t>RAWS</w:t>
            </w:r>
          </w:p>
        </w:tc>
        <w:tc>
          <w:tcPr>
            <w:tcW w:w="977" w:type="dxa"/>
          </w:tcPr>
          <w:p>
            <w:pPr>
              <w:pStyle w:val="TableParagraph"/>
              <w:spacing w:line="271" w:lineRule="exact"/>
              <w:ind w:left="107"/>
              <w:rPr>
                <w:sz w:val="24"/>
              </w:rPr>
            </w:pPr>
            <w:r>
              <w:rPr>
                <w:sz w:val="24"/>
              </w:rPr>
              <w:t>BLM</w:t>
            </w:r>
          </w:p>
        </w:tc>
        <w:tc>
          <w:tcPr>
            <w:tcW w:w="1183" w:type="dxa"/>
          </w:tcPr>
          <w:p>
            <w:pPr>
              <w:pStyle w:val="TableParagraph"/>
              <w:spacing w:line="270" w:lineRule="exact"/>
              <w:ind w:left="105"/>
              <w:rPr>
                <w:sz w:val="24"/>
              </w:rPr>
            </w:pPr>
            <w:r>
              <w:rPr>
                <w:sz w:val="24"/>
              </w:rPr>
              <w:t>46.35</w:t>
            </w:r>
          </w:p>
          <w:p>
            <w:pPr>
              <w:pStyle w:val="TableParagraph"/>
              <w:spacing w:line="261" w:lineRule="exact"/>
              <w:ind w:left="105"/>
              <w:rPr>
                <w:sz w:val="24"/>
              </w:rPr>
            </w:pPr>
            <w:r>
              <w:rPr>
                <w:sz w:val="24"/>
              </w:rPr>
              <w:t>75</w:t>
            </w:r>
          </w:p>
        </w:tc>
        <w:tc>
          <w:tcPr>
            <w:tcW w:w="1260" w:type="dxa"/>
          </w:tcPr>
          <w:p>
            <w:pPr>
              <w:pStyle w:val="TableParagraph"/>
              <w:spacing w:line="271" w:lineRule="exact"/>
              <w:ind w:left="107"/>
              <w:rPr>
                <w:sz w:val="24"/>
              </w:rPr>
            </w:pPr>
            <w:r>
              <w:rPr>
                <w:sz w:val="24"/>
              </w:rPr>
              <w:t>118.8683</w:t>
            </w:r>
          </w:p>
        </w:tc>
        <w:tc>
          <w:tcPr>
            <w:tcW w:w="888" w:type="dxa"/>
          </w:tcPr>
          <w:p>
            <w:pPr>
              <w:pStyle w:val="TableParagraph"/>
              <w:spacing w:line="271" w:lineRule="exact"/>
              <w:ind w:left="211"/>
              <w:rPr>
                <w:sz w:val="24"/>
              </w:rPr>
            </w:pPr>
            <w:r>
              <w:rPr>
                <w:sz w:val="24"/>
              </w:rPr>
              <w:t>950</w:t>
            </w:r>
          </w:p>
        </w:tc>
        <w:tc>
          <w:tcPr>
            <w:tcW w:w="1452" w:type="dxa"/>
          </w:tcPr>
          <w:p>
            <w:pPr>
              <w:pStyle w:val="TableParagraph"/>
              <w:spacing w:line="271" w:lineRule="exact"/>
              <w:ind w:left="107"/>
              <w:rPr>
                <w:sz w:val="24"/>
              </w:rPr>
            </w:pPr>
            <w:r>
              <w:rPr>
                <w:sz w:val="24"/>
              </w:rPr>
              <w:t>Flat</w:t>
            </w:r>
          </w:p>
        </w:tc>
      </w:tr>
      <w:tr>
        <w:trPr>
          <w:trHeight w:val="551" w:hRule="atLeast"/>
        </w:trPr>
        <w:tc>
          <w:tcPr>
            <w:tcW w:w="1080" w:type="dxa"/>
          </w:tcPr>
          <w:p>
            <w:pPr>
              <w:pStyle w:val="TableParagraph"/>
              <w:spacing w:line="271" w:lineRule="exact"/>
              <w:ind w:left="107"/>
              <w:rPr>
                <w:sz w:val="24"/>
              </w:rPr>
            </w:pPr>
            <w:r>
              <w:rPr>
                <w:sz w:val="24"/>
              </w:rPr>
              <w:t>WA641</w:t>
            </w:r>
          </w:p>
        </w:tc>
        <w:tc>
          <w:tcPr>
            <w:tcW w:w="1800" w:type="dxa"/>
          </w:tcPr>
          <w:p>
            <w:pPr>
              <w:pStyle w:val="TableParagraph"/>
              <w:spacing w:line="271" w:lineRule="exact"/>
              <w:ind w:left="107"/>
              <w:rPr>
                <w:sz w:val="24"/>
              </w:rPr>
            </w:pPr>
            <w:r>
              <w:rPr>
                <w:sz w:val="24"/>
              </w:rPr>
              <w:t>Walla Walla</w:t>
            </w:r>
          </w:p>
          <w:p>
            <w:pPr>
              <w:pStyle w:val="TableParagraph"/>
              <w:spacing w:line="260" w:lineRule="exact"/>
              <w:ind w:left="107"/>
              <w:rPr>
                <w:sz w:val="24"/>
              </w:rPr>
            </w:pPr>
            <w:r>
              <w:rPr>
                <w:sz w:val="24"/>
              </w:rPr>
              <w:t>AP</w:t>
            </w:r>
          </w:p>
        </w:tc>
        <w:tc>
          <w:tcPr>
            <w:tcW w:w="1080" w:type="dxa"/>
          </w:tcPr>
          <w:p>
            <w:pPr>
              <w:pStyle w:val="TableParagraph"/>
              <w:spacing w:line="271" w:lineRule="exact"/>
              <w:ind w:left="107"/>
              <w:rPr>
                <w:sz w:val="24"/>
              </w:rPr>
            </w:pPr>
            <w:r>
              <w:rPr>
                <w:sz w:val="24"/>
              </w:rPr>
              <w:t>453302</w:t>
            </w:r>
          </w:p>
        </w:tc>
        <w:tc>
          <w:tcPr>
            <w:tcW w:w="1080" w:type="dxa"/>
          </w:tcPr>
          <w:p>
            <w:pPr>
              <w:pStyle w:val="TableParagraph"/>
              <w:spacing w:line="271" w:lineRule="exact"/>
              <w:ind w:left="107"/>
              <w:rPr>
                <w:sz w:val="24"/>
              </w:rPr>
            </w:pPr>
            <w:r>
              <w:rPr>
                <w:sz w:val="24"/>
              </w:rPr>
              <w:t>Metar</w:t>
            </w:r>
          </w:p>
        </w:tc>
        <w:tc>
          <w:tcPr>
            <w:tcW w:w="977" w:type="dxa"/>
          </w:tcPr>
          <w:p>
            <w:pPr>
              <w:pStyle w:val="TableParagraph"/>
              <w:spacing w:line="271" w:lineRule="exact"/>
              <w:ind w:left="107"/>
              <w:rPr>
                <w:sz w:val="24"/>
              </w:rPr>
            </w:pPr>
            <w:r>
              <w:rPr>
                <w:sz w:val="24"/>
              </w:rPr>
              <w:t>FAA</w:t>
            </w:r>
          </w:p>
        </w:tc>
        <w:tc>
          <w:tcPr>
            <w:tcW w:w="1183" w:type="dxa"/>
          </w:tcPr>
          <w:p>
            <w:pPr>
              <w:pStyle w:val="TableParagraph"/>
              <w:spacing w:line="270" w:lineRule="exact"/>
              <w:ind w:left="105"/>
              <w:rPr>
                <w:sz w:val="24"/>
              </w:rPr>
            </w:pPr>
            <w:r>
              <w:rPr>
                <w:sz w:val="24"/>
              </w:rPr>
              <w:t>46.09</w:t>
            </w:r>
          </w:p>
          <w:p>
            <w:pPr>
              <w:pStyle w:val="TableParagraph"/>
              <w:spacing w:line="261" w:lineRule="exact"/>
              <w:ind w:left="105"/>
              <w:rPr>
                <w:sz w:val="24"/>
              </w:rPr>
            </w:pPr>
            <w:r>
              <w:rPr>
                <w:sz w:val="24"/>
              </w:rPr>
              <w:t>45</w:t>
            </w:r>
          </w:p>
        </w:tc>
        <w:tc>
          <w:tcPr>
            <w:tcW w:w="1260" w:type="dxa"/>
          </w:tcPr>
          <w:p>
            <w:pPr>
              <w:pStyle w:val="TableParagraph"/>
              <w:spacing w:line="271" w:lineRule="exact"/>
              <w:ind w:left="107"/>
              <w:rPr>
                <w:sz w:val="24"/>
              </w:rPr>
            </w:pPr>
            <w:r>
              <w:rPr>
                <w:sz w:val="24"/>
              </w:rPr>
              <w:t>118.2858</w:t>
            </w:r>
          </w:p>
        </w:tc>
        <w:tc>
          <w:tcPr>
            <w:tcW w:w="888" w:type="dxa"/>
          </w:tcPr>
          <w:p>
            <w:pPr>
              <w:pStyle w:val="TableParagraph"/>
              <w:spacing w:line="271" w:lineRule="exact"/>
              <w:ind w:left="211"/>
              <w:rPr>
                <w:sz w:val="24"/>
              </w:rPr>
            </w:pPr>
            <w:r>
              <w:rPr>
                <w:sz w:val="24"/>
              </w:rPr>
              <w:t>1166</w:t>
            </w:r>
          </w:p>
        </w:tc>
        <w:tc>
          <w:tcPr>
            <w:tcW w:w="1452" w:type="dxa"/>
          </w:tcPr>
          <w:p>
            <w:pPr>
              <w:pStyle w:val="TableParagraph"/>
              <w:spacing w:line="271" w:lineRule="exact"/>
              <w:ind w:left="107"/>
              <w:rPr>
                <w:sz w:val="24"/>
              </w:rPr>
            </w:pPr>
            <w:r>
              <w:rPr>
                <w:sz w:val="24"/>
              </w:rPr>
              <w:t>Flat</w:t>
            </w:r>
          </w:p>
        </w:tc>
      </w:tr>
      <w:tr>
        <w:trPr>
          <w:trHeight w:val="554" w:hRule="atLeast"/>
        </w:trPr>
        <w:tc>
          <w:tcPr>
            <w:tcW w:w="1080" w:type="dxa"/>
          </w:tcPr>
          <w:p>
            <w:pPr>
              <w:pStyle w:val="TableParagraph"/>
              <w:spacing w:line="271" w:lineRule="exact"/>
              <w:ind w:left="107"/>
              <w:rPr>
                <w:sz w:val="24"/>
              </w:rPr>
            </w:pPr>
            <w:r>
              <w:rPr>
                <w:sz w:val="24"/>
              </w:rPr>
              <w:t>OR641</w:t>
            </w:r>
          </w:p>
        </w:tc>
        <w:tc>
          <w:tcPr>
            <w:tcW w:w="1800" w:type="dxa"/>
          </w:tcPr>
          <w:p>
            <w:pPr>
              <w:pStyle w:val="TableParagraph"/>
              <w:spacing w:line="271" w:lineRule="exact"/>
              <w:ind w:left="107"/>
              <w:rPr>
                <w:sz w:val="24"/>
              </w:rPr>
            </w:pPr>
            <w:r>
              <w:rPr>
                <w:sz w:val="24"/>
              </w:rPr>
              <w:t>Patjens</w:t>
            </w:r>
          </w:p>
        </w:tc>
        <w:tc>
          <w:tcPr>
            <w:tcW w:w="1080" w:type="dxa"/>
          </w:tcPr>
          <w:p>
            <w:pPr>
              <w:pStyle w:val="TableParagraph"/>
              <w:spacing w:line="271" w:lineRule="exact"/>
              <w:ind w:left="107"/>
              <w:rPr>
                <w:sz w:val="24"/>
              </w:rPr>
            </w:pPr>
            <w:r>
              <w:rPr>
                <w:sz w:val="24"/>
              </w:rPr>
              <w:t>351001</w:t>
            </w:r>
          </w:p>
        </w:tc>
        <w:tc>
          <w:tcPr>
            <w:tcW w:w="1080" w:type="dxa"/>
          </w:tcPr>
          <w:p>
            <w:pPr>
              <w:pStyle w:val="TableParagraph"/>
              <w:spacing w:line="271" w:lineRule="exact"/>
              <w:ind w:left="110"/>
              <w:rPr>
                <w:sz w:val="24"/>
              </w:rPr>
            </w:pPr>
            <w:r>
              <w:rPr>
                <w:sz w:val="24"/>
              </w:rPr>
              <w:t>RAWS</w:t>
            </w:r>
          </w:p>
        </w:tc>
        <w:tc>
          <w:tcPr>
            <w:tcW w:w="977" w:type="dxa"/>
          </w:tcPr>
          <w:p>
            <w:pPr>
              <w:pStyle w:val="TableParagraph"/>
              <w:spacing w:line="271" w:lineRule="exact"/>
              <w:ind w:left="107"/>
              <w:rPr>
                <w:sz w:val="24"/>
              </w:rPr>
            </w:pPr>
            <w:r>
              <w:rPr>
                <w:sz w:val="24"/>
              </w:rPr>
              <w:t>BLM</w:t>
            </w:r>
          </w:p>
        </w:tc>
        <w:tc>
          <w:tcPr>
            <w:tcW w:w="1183" w:type="dxa"/>
          </w:tcPr>
          <w:p>
            <w:pPr>
              <w:pStyle w:val="TableParagraph"/>
              <w:spacing w:line="271" w:lineRule="exact"/>
              <w:ind w:left="105"/>
              <w:rPr>
                <w:sz w:val="24"/>
              </w:rPr>
            </w:pPr>
            <w:r>
              <w:rPr>
                <w:sz w:val="24"/>
              </w:rPr>
              <w:t>45.32</w:t>
            </w:r>
          </w:p>
          <w:p>
            <w:pPr>
              <w:pStyle w:val="TableParagraph"/>
              <w:spacing w:line="263" w:lineRule="exact"/>
              <w:ind w:left="105"/>
              <w:rPr>
                <w:sz w:val="24"/>
              </w:rPr>
            </w:pPr>
            <w:r>
              <w:rPr>
                <w:sz w:val="24"/>
              </w:rPr>
              <w:t>19</w:t>
            </w:r>
          </w:p>
        </w:tc>
        <w:tc>
          <w:tcPr>
            <w:tcW w:w="1260" w:type="dxa"/>
          </w:tcPr>
          <w:p>
            <w:pPr>
              <w:pStyle w:val="TableParagraph"/>
              <w:spacing w:line="271" w:lineRule="exact"/>
              <w:ind w:left="107"/>
              <w:rPr>
                <w:sz w:val="24"/>
              </w:rPr>
            </w:pPr>
            <w:r>
              <w:rPr>
                <w:sz w:val="24"/>
              </w:rPr>
              <w:t>120.9292</w:t>
            </w:r>
          </w:p>
        </w:tc>
        <w:tc>
          <w:tcPr>
            <w:tcW w:w="888" w:type="dxa"/>
          </w:tcPr>
          <w:p>
            <w:pPr>
              <w:pStyle w:val="TableParagraph"/>
              <w:spacing w:line="271" w:lineRule="exact"/>
              <w:ind w:left="211"/>
              <w:rPr>
                <w:sz w:val="24"/>
              </w:rPr>
            </w:pPr>
            <w:r>
              <w:rPr>
                <w:sz w:val="24"/>
              </w:rPr>
              <w:t>2230</w:t>
            </w:r>
          </w:p>
        </w:tc>
        <w:tc>
          <w:tcPr>
            <w:tcW w:w="1452" w:type="dxa"/>
          </w:tcPr>
          <w:p>
            <w:pPr>
              <w:pStyle w:val="TableParagraph"/>
              <w:spacing w:line="271" w:lineRule="exact"/>
              <w:ind w:left="107"/>
              <w:rPr>
                <w:sz w:val="24"/>
              </w:rPr>
            </w:pPr>
            <w:r>
              <w:rPr>
                <w:sz w:val="24"/>
              </w:rPr>
              <w:t>Ridge-SW</w:t>
            </w:r>
          </w:p>
        </w:tc>
      </w:tr>
    </w:tbl>
    <w:p>
      <w:pPr>
        <w:spacing w:after="0" w:line="271" w:lineRule="exact"/>
        <w:rPr>
          <w:sz w:val="24"/>
        </w:rPr>
        <w:sectPr>
          <w:pgSz w:w="12240" w:h="15840"/>
          <w:pgMar w:header="0" w:footer="968" w:top="1440" w:bottom="1160" w:left="340" w:right="620"/>
        </w:sect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1800"/>
        <w:gridCol w:w="1080"/>
        <w:gridCol w:w="1080"/>
        <w:gridCol w:w="977"/>
        <w:gridCol w:w="1183"/>
        <w:gridCol w:w="1260"/>
        <w:gridCol w:w="888"/>
        <w:gridCol w:w="1452"/>
      </w:tblGrid>
      <w:tr>
        <w:trPr>
          <w:trHeight w:val="551" w:hRule="atLeast"/>
        </w:trPr>
        <w:tc>
          <w:tcPr>
            <w:tcW w:w="1080" w:type="dxa"/>
          </w:tcPr>
          <w:p>
            <w:pPr>
              <w:pStyle w:val="TableParagraph"/>
              <w:spacing w:line="271" w:lineRule="exact"/>
              <w:ind w:left="107"/>
              <w:rPr>
                <w:sz w:val="24"/>
              </w:rPr>
            </w:pPr>
            <w:r>
              <w:rPr>
                <w:sz w:val="24"/>
              </w:rPr>
              <w:t>OR641</w:t>
            </w:r>
          </w:p>
        </w:tc>
        <w:tc>
          <w:tcPr>
            <w:tcW w:w="1800" w:type="dxa"/>
          </w:tcPr>
          <w:p>
            <w:pPr>
              <w:pStyle w:val="TableParagraph"/>
              <w:spacing w:line="276" w:lineRule="exact"/>
              <w:ind w:left="107" w:right="529"/>
              <w:rPr>
                <w:sz w:val="24"/>
              </w:rPr>
            </w:pPr>
            <w:r>
              <w:rPr>
                <w:sz w:val="24"/>
              </w:rPr>
              <w:t>North Pole Rdg</w:t>
            </w:r>
          </w:p>
        </w:tc>
        <w:tc>
          <w:tcPr>
            <w:tcW w:w="1080" w:type="dxa"/>
          </w:tcPr>
          <w:p>
            <w:pPr>
              <w:pStyle w:val="TableParagraph"/>
              <w:spacing w:line="271" w:lineRule="exact"/>
              <w:ind w:left="107"/>
              <w:rPr>
                <w:sz w:val="24"/>
              </w:rPr>
            </w:pPr>
            <w:r>
              <w:rPr>
                <w:sz w:val="24"/>
              </w:rPr>
              <w:t>350915</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BLM</w:t>
            </w:r>
          </w:p>
        </w:tc>
        <w:tc>
          <w:tcPr>
            <w:tcW w:w="1183" w:type="dxa"/>
          </w:tcPr>
          <w:p>
            <w:pPr>
              <w:pStyle w:val="TableParagraph"/>
              <w:spacing w:line="271" w:lineRule="exact"/>
              <w:ind w:left="105"/>
              <w:rPr>
                <w:sz w:val="24"/>
              </w:rPr>
            </w:pPr>
            <w:r>
              <w:rPr>
                <w:sz w:val="24"/>
              </w:rPr>
              <w:t>45.0329</w:t>
            </w:r>
          </w:p>
        </w:tc>
        <w:tc>
          <w:tcPr>
            <w:tcW w:w="1260" w:type="dxa"/>
          </w:tcPr>
          <w:p>
            <w:pPr>
              <w:pStyle w:val="TableParagraph"/>
              <w:spacing w:line="271" w:lineRule="exact"/>
              <w:ind w:left="107"/>
              <w:rPr>
                <w:sz w:val="24"/>
              </w:rPr>
            </w:pPr>
            <w:r>
              <w:rPr>
                <w:sz w:val="24"/>
              </w:rPr>
              <w:t>120.5357</w:t>
            </w:r>
          </w:p>
        </w:tc>
        <w:tc>
          <w:tcPr>
            <w:tcW w:w="888" w:type="dxa"/>
          </w:tcPr>
          <w:p>
            <w:pPr>
              <w:pStyle w:val="TableParagraph"/>
              <w:spacing w:line="271" w:lineRule="exact"/>
              <w:ind w:left="211"/>
              <w:rPr>
                <w:sz w:val="24"/>
              </w:rPr>
            </w:pPr>
            <w:r>
              <w:rPr>
                <w:sz w:val="24"/>
              </w:rPr>
              <w:t>3500</w:t>
            </w:r>
          </w:p>
        </w:tc>
        <w:tc>
          <w:tcPr>
            <w:tcW w:w="1452" w:type="dxa"/>
          </w:tcPr>
          <w:p>
            <w:pPr>
              <w:pStyle w:val="TableParagraph"/>
              <w:spacing w:line="271" w:lineRule="exact"/>
              <w:ind w:left="107"/>
              <w:rPr>
                <w:sz w:val="24"/>
              </w:rPr>
            </w:pPr>
            <w:r>
              <w:rPr>
                <w:sz w:val="24"/>
              </w:rPr>
              <w:t>Ridge-W</w:t>
            </w:r>
          </w:p>
        </w:tc>
      </w:tr>
      <w:tr>
        <w:trPr>
          <w:trHeight w:val="551" w:hRule="atLeast"/>
        </w:trPr>
        <w:tc>
          <w:tcPr>
            <w:tcW w:w="1080" w:type="dxa"/>
          </w:tcPr>
          <w:p>
            <w:pPr>
              <w:pStyle w:val="TableParagraph"/>
              <w:spacing w:line="271" w:lineRule="exact"/>
              <w:ind w:left="107"/>
              <w:rPr>
                <w:sz w:val="24"/>
              </w:rPr>
            </w:pPr>
            <w:r>
              <w:rPr>
                <w:sz w:val="24"/>
              </w:rPr>
              <w:t>OR641</w:t>
            </w:r>
          </w:p>
        </w:tc>
        <w:tc>
          <w:tcPr>
            <w:tcW w:w="1800" w:type="dxa"/>
          </w:tcPr>
          <w:p>
            <w:pPr>
              <w:pStyle w:val="TableParagraph"/>
              <w:spacing w:line="271" w:lineRule="exact"/>
              <w:ind w:left="107"/>
              <w:rPr>
                <w:sz w:val="24"/>
              </w:rPr>
            </w:pPr>
            <w:r>
              <w:rPr>
                <w:sz w:val="24"/>
              </w:rPr>
              <w:t>Umatilla NWR</w:t>
            </w:r>
          </w:p>
        </w:tc>
        <w:tc>
          <w:tcPr>
            <w:tcW w:w="1080" w:type="dxa"/>
          </w:tcPr>
          <w:p>
            <w:pPr>
              <w:pStyle w:val="TableParagraph"/>
              <w:spacing w:line="271" w:lineRule="exact"/>
              <w:ind w:left="107"/>
              <w:rPr>
                <w:sz w:val="24"/>
              </w:rPr>
            </w:pPr>
            <w:r>
              <w:rPr>
                <w:sz w:val="24"/>
              </w:rPr>
              <w:t>351316</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USFWL</w:t>
            </w:r>
          </w:p>
        </w:tc>
        <w:tc>
          <w:tcPr>
            <w:tcW w:w="1183" w:type="dxa"/>
          </w:tcPr>
          <w:p>
            <w:pPr>
              <w:pStyle w:val="TableParagraph"/>
              <w:spacing w:line="271" w:lineRule="exact"/>
              <w:ind w:left="105"/>
              <w:rPr>
                <w:sz w:val="24"/>
              </w:rPr>
            </w:pPr>
            <w:r>
              <w:rPr>
                <w:sz w:val="24"/>
              </w:rPr>
              <w:t>45.9180</w:t>
            </w:r>
          </w:p>
        </w:tc>
        <w:tc>
          <w:tcPr>
            <w:tcW w:w="1260" w:type="dxa"/>
          </w:tcPr>
          <w:p>
            <w:pPr>
              <w:pStyle w:val="TableParagraph"/>
              <w:spacing w:line="271" w:lineRule="exact"/>
              <w:ind w:left="107"/>
              <w:rPr>
                <w:sz w:val="24"/>
              </w:rPr>
            </w:pPr>
            <w:r>
              <w:rPr>
                <w:sz w:val="24"/>
              </w:rPr>
              <w:t>119.5675</w:t>
            </w:r>
          </w:p>
        </w:tc>
        <w:tc>
          <w:tcPr>
            <w:tcW w:w="888" w:type="dxa"/>
          </w:tcPr>
          <w:p>
            <w:pPr>
              <w:pStyle w:val="TableParagraph"/>
              <w:spacing w:line="271" w:lineRule="exact"/>
              <w:ind w:left="211"/>
              <w:rPr>
                <w:sz w:val="24"/>
              </w:rPr>
            </w:pPr>
            <w:r>
              <w:rPr>
                <w:sz w:val="24"/>
              </w:rPr>
              <w:t>270</w:t>
            </w:r>
          </w:p>
        </w:tc>
        <w:tc>
          <w:tcPr>
            <w:tcW w:w="1452" w:type="dxa"/>
          </w:tcPr>
          <w:p>
            <w:pPr>
              <w:pStyle w:val="TableParagraph"/>
              <w:spacing w:line="271" w:lineRule="exact"/>
              <w:ind w:left="107"/>
              <w:rPr>
                <w:sz w:val="24"/>
              </w:rPr>
            </w:pPr>
            <w:r>
              <w:rPr>
                <w:sz w:val="24"/>
              </w:rPr>
              <w:t>Flat</w:t>
            </w:r>
          </w:p>
        </w:tc>
      </w:tr>
      <w:tr>
        <w:trPr>
          <w:trHeight w:val="556" w:hRule="atLeast"/>
        </w:trPr>
        <w:tc>
          <w:tcPr>
            <w:tcW w:w="1080" w:type="dxa"/>
          </w:tcPr>
          <w:p>
            <w:pPr>
              <w:pStyle w:val="TableParagraph"/>
              <w:spacing w:line="274" w:lineRule="exact"/>
              <w:ind w:left="107"/>
              <w:rPr>
                <w:sz w:val="24"/>
              </w:rPr>
            </w:pPr>
            <w:r>
              <w:rPr>
                <w:sz w:val="24"/>
              </w:rPr>
              <w:t>OR641</w:t>
            </w:r>
          </w:p>
        </w:tc>
        <w:tc>
          <w:tcPr>
            <w:tcW w:w="1800" w:type="dxa"/>
          </w:tcPr>
          <w:p>
            <w:pPr>
              <w:pStyle w:val="TableParagraph"/>
              <w:spacing w:line="274" w:lineRule="exact"/>
              <w:ind w:left="107"/>
              <w:rPr>
                <w:sz w:val="24"/>
              </w:rPr>
            </w:pPr>
            <w:r>
              <w:rPr>
                <w:sz w:val="24"/>
              </w:rPr>
              <w:t>Pendleton AP</w:t>
            </w:r>
          </w:p>
        </w:tc>
        <w:tc>
          <w:tcPr>
            <w:tcW w:w="1080" w:type="dxa"/>
          </w:tcPr>
          <w:p>
            <w:pPr>
              <w:pStyle w:val="TableParagraph"/>
              <w:spacing w:line="274" w:lineRule="exact"/>
              <w:ind w:left="107"/>
              <w:rPr>
                <w:sz w:val="24"/>
              </w:rPr>
            </w:pPr>
            <w:r>
              <w:rPr>
                <w:sz w:val="24"/>
              </w:rPr>
              <w:t>351307</w:t>
            </w:r>
          </w:p>
        </w:tc>
        <w:tc>
          <w:tcPr>
            <w:tcW w:w="1080" w:type="dxa"/>
          </w:tcPr>
          <w:p>
            <w:pPr>
              <w:pStyle w:val="TableParagraph"/>
              <w:spacing w:line="274" w:lineRule="exact"/>
              <w:ind w:left="107"/>
              <w:rPr>
                <w:sz w:val="24"/>
              </w:rPr>
            </w:pPr>
            <w:r>
              <w:rPr>
                <w:sz w:val="24"/>
              </w:rPr>
              <w:t>Metar</w:t>
            </w:r>
          </w:p>
        </w:tc>
        <w:tc>
          <w:tcPr>
            <w:tcW w:w="977" w:type="dxa"/>
          </w:tcPr>
          <w:p>
            <w:pPr>
              <w:pStyle w:val="TableParagraph"/>
              <w:spacing w:line="274" w:lineRule="exact"/>
              <w:ind w:left="107"/>
              <w:rPr>
                <w:sz w:val="24"/>
              </w:rPr>
            </w:pPr>
            <w:r>
              <w:rPr>
                <w:sz w:val="24"/>
              </w:rPr>
              <w:t>FAA</w:t>
            </w:r>
          </w:p>
        </w:tc>
        <w:tc>
          <w:tcPr>
            <w:tcW w:w="1183" w:type="dxa"/>
          </w:tcPr>
          <w:p>
            <w:pPr>
              <w:pStyle w:val="TableParagraph"/>
              <w:spacing w:line="274" w:lineRule="exact"/>
              <w:ind w:left="105"/>
              <w:rPr>
                <w:sz w:val="24"/>
              </w:rPr>
            </w:pPr>
            <w:r>
              <w:rPr>
                <w:sz w:val="24"/>
              </w:rPr>
              <w:t>45.6975</w:t>
            </w:r>
          </w:p>
        </w:tc>
        <w:tc>
          <w:tcPr>
            <w:tcW w:w="1260" w:type="dxa"/>
          </w:tcPr>
          <w:p>
            <w:pPr>
              <w:pStyle w:val="TableParagraph"/>
              <w:spacing w:line="274" w:lineRule="exact"/>
              <w:ind w:left="107"/>
              <w:rPr>
                <w:sz w:val="24"/>
              </w:rPr>
            </w:pPr>
            <w:r>
              <w:rPr>
                <w:sz w:val="24"/>
              </w:rPr>
              <w:t>118.8344</w:t>
            </w:r>
          </w:p>
        </w:tc>
        <w:tc>
          <w:tcPr>
            <w:tcW w:w="888" w:type="dxa"/>
          </w:tcPr>
          <w:p>
            <w:pPr>
              <w:pStyle w:val="TableParagraph"/>
              <w:spacing w:line="274" w:lineRule="exact"/>
              <w:ind w:left="211"/>
              <w:rPr>
                <w:sz w:val="24"/>
              </w:rPr>
            </w:pPr>
            <w:r>
              <w:rPr>
                <w:sz w:val="24"/>
              </w:rPr>
              <w:t>1482</w:t>
            </w:r>
          </w:p>
        </w:tc>
        <w:tc>
          <w:tcPr>
            <w:tcW w:w="1452" w:type="dxa"/>
          </w:tcPr>
          <w:p>
            <w:pPr>
              <w:pStyle w:val="TableParagraph"/>
              <w:spacing w:line="274" w:lineRule="exact"/>
              <w:ind w:left="107"/>
              <w:rPr>
                <w:sz w:val="24"/>
              </w:rPr>
            </w:pPr>
            <w:r>
              <w:rPr>
                <w:sz w:val="24"/>
              </w:rPr>
              <w:t>Ridge-flat</w:t>
            </w:r>
          </w:p>
        </w:tc>
      </w:tr>
    </w:tbl>
    <w:p>
      <w:pPr>
        <w:pStyle w:val="BodyText"/>
        <w:spacing w:before="9"/>
        <w:rPr>
          <w:b/>
          <w:sz w:val="23"/>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1800"/>
        <w:gridCol w:w="1080"/>
        <w:gridCol w:w="1080"/>
        <w:gridCol w:w="977"/>
        <w:gridCol w:w="1183"/>
        <w:gridCol w:w="1260"/>
        <w:gridCol w:w="888"/>
        <w:gridCol w:w="1452"/>
      </w:tblGrid>
      <w:tr>
        <w:trPr>
          <w:trHeight w:val="630" w:hRule="atLeast"/>
        </w:trPr>
        <w:tc>
          <w:tcPr>
            <w:tcW w:w="1080" w:type="dxa"/>
          </w:tcPr>
          <w:p>
            <w:pPr>
              <w:pStyle w:val="TableParagraph"/>
              <w:spacing w:line="274" w:lineRule="exact"/>
              <w:ind w:left="107"/>
              <w:rPr>
                <w:sz w:val="24"/>
              </w:rPr>
            </w:pPr>
            <w:r>
              <w:rPr>
                <w:sz w:val="24"/>
              </w:rPr>
              <w:t>OR642</w:t>
            </w:r>
          </w:p>
        </w:tc>
        <w:tc>
          <w:tcPr>
            <w:tcW w:w="1800" w:type="dxa"/>
          </w:tcPr>
          <w:p>
            <w:pPr>
              <w:pStyle w:val="TableParagraph"/>
              <w:spacing w:line="274" w:lineRule="exact"/>
              <w:ind w:left="107"/>
              <w:rPr>
                <w:sz w:val="24"/>
              </w:rPr>
            </w:pPr>
            <w:r>
              <w:rPr>
                <w:sz w:val="24"/>
              </w:rPr>
              <w:t>Crow Flat</w:t>
            </w:r>
          </w:p>
        </w:tc>
        <w:tc>
          <w:tcPr>
            <w:tcW w:w="1080" w:type="dxa"/>
          </w:tcPr>
          <w:p>
            <w:pPr>
              <w:pStyle w:val="TableParagraph"/>
              <w:spacing w:line="274" w:lineRule="exact"/>
              <w:ind w:left="107"/>
              <w:rPr>
                <w:sz w:val="24"/>
              </w:rPr>
            </w:pPr>
            <w:r>
              <w:rPr>
                <w:sz w:val="24"/>
              </w:rPr>
              <w:t>353515</w:t>
            </w:r>
          </w:p>
        </w:tc>
        <w:tc>
          <w:tcPr>
            <w:tcW w:w="1080" w:type="dxa"/>
          </w:tcPr>
          <w:p>
            <w:pPr>
              <w:pStyle w:val="TableParagraph"/>
              <w:spacing w:line="274" w:lineRule="exact"/>
              <w:ind w:left="107"/>
              <w:rPr>
                <w:sz w:val="24"/>
              </w:rPr>
            </w:pPr>
            <w:r>
              <w:rPr>
                <w:sz w:val="24"/>
              </w:rPr>
              <w:t>RAWS</w:t>
            </w:r>
          </w:p>
        </w:tc>
        <w:tc>
          <w:tcPr>
            <w:tcW w:w="977" w:type="dxa"/>
          </w:tcPr>
          <w:p>
            <w:pPr>
              <w:pStyle w:val="TableParagraph"/>
              <w:spacing w:line="274" w:lineRule="exact"/>
              <w:ind w:left="107"/>
              <w:rPr>
                <w:sz w:val="24"/>
              </w:rPr>
            </w:pPr>
            <w:r>
              <w:rPr>
                <w:sz w:val="24"/>
              </w:rPr>
              <w:t>USFS</w:t>
            </w:r>
          </w:p>
        </w:tc>
        <w:tc>
          <w:tcPr>
            <w:tcW w:w="1183" w:type="dxa"/>
          </w:tcPr>
          <w:p>
            <w:pPr>
              <w:pStyle w:val="TableParagraph"/>
              <w:spacing w:line="274" w:lineRule="exact"/>
              <w:ind w:left="107"/>
              <w:rPr>
                <w:sz w:val="24"/>
              </w:rPr>
            </w:pPr>
            <w:r>
              <w:rPr>
                <w:sz w:val="24"/>
              </w:rPr>
              <w:t>43.8413</w:t>
            </w:r>
          </w:p>
        </w:tc>
        <w:tc>
          <w:tcPr>
            <w:tcW w:w="1260" w:type="dxa"/>
          </w:tcPr>
          <w:p>
            <w:pPr>
              <w:pStyle w:val="TableParagraph"/>
              <w:spacing w:line="274" w:lineRule="exact"/>
              <w:ind w:left="107"/>
              <w:rPr>
                <w:sz w:val="24"/>
              </w:rPr>
            </w:pPr>
            <w:r>
              <w:rPr>
                <w:sz w:val="24"/>
              </w:rPr>
              <w:t>118.9521</w:t>
            </w:r>
          </w:p>
        </w:tc>
        <w:tc>
          <w:tcPr>
            <w:tcW w:w="888" w:type="dxa"/>
          </w:tcPr>
          <w:p>
            <w:pPr>
              <w:pStyle w:val="TableParagraph"/>
              <w:spacing w:line="274" w:lineRule="exact"/>
              <w:ind w:left="191" w:right="112"/>
              <w:jc w:val="center"/>
              <w:rPr>
                <w:sz w:val="24"/>
              </w:rPr>
            </w:pPr>
            <w:r>
              <w:rPr>
                <w:sz w:val="24"/>
              </w:rPr>
              <w:t>5130</w:t>
            </w:r>
          </w:p>
        </w:tc>
        <w:tc>
          <w:tcPr>
            <w:tcW w:w="1452" w:type="dxa"/>
          </w:tcPr>
          <w:p>
            <w:pPr>
              <w:pStyle w:val="TableParagraph"/>
              <w:spacing w:line="274" w:lineRule="exact"/>
              <w:ind w:left="107"/>
              <w:rPr>
                <w:sz w:val="24"/>
              </w:rPr>
            </w:pPr>
            <w:r>
              <w:rPr>
                <w:sz w:val="24"/>
              </w:rPr>
              <w:t>Valley-S</w:t>
            </w:r>
          </w:p>
        </w:tc>
      </w:tr>
      <w:tr>
        <w:trPr>
          <w:trHeight w:val="551" w:hRule="atLeast"/>
        </w:trPr>
        <w:tc>
          <w:tcPr>
            <w:tcW w:w="1080" w:type="dxa"/>
          </w:tcPr>
          <w:p>
            <w:pPr>
              <w:pStyle w:val="TableParagraph"/>
              <w:spacing w:line="271" w:lineRule="exact"/>
              <w:ind w:left="107"/>
              <w:rPr>
                <w:sz w:val="24"/>
              </w:rPr>
            </w:pPr>
            <w:r>
              <w:rPr>
                <w:sz w:val="24"/>
              </w:rPr>
              <w:t>OR642</w:t>
            </w:r>
          </w:p>
        </w:tc>
        <w:tc>
          <w:tcPr>
            <w:tcW w:w="1800" w:type="dxa"/>
          </w:tcPr>
          <w:p>
            <w:pPr>
              <w:pStyle w:val="TableParagraph"/>
              <w:spacing w:line="271" w:lineRule="exact"/>
              <w:ind w:left="107"/>
              <w:rPr>
                <w:sz w:val="24"/>
              </w:rPr>
            </w:pPr>
            <w:r>
              <w:rPr>
                <w:sz w:val="24"/>
              </w:rPr>
              <w:t>Allison</w:t>
            </w:r>
          </w:p>
        </w:tc>
        <w:tc>
          <w:tcPr>
            <w:tcW w:w="1080" w:type="dxa"/>
          </w:tcPr>
          <w:p>
            <w:pPr>
              <w:pStyle w:val="TableParagraph"/>
              <w:spacing w:line="271" w:lineRule="exact"/>
              <w:ind w:left="107"/>
              <w:rPr>
                <w:sz w:val="24"/>
              </w:rPr>
            </w:pPr>
            <w:r>
              <w:rPr>
                <w:sz w:val="24"/>
              </w:rPr>
              <w:t>353501</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7"/>
              <w:rPr>
                <w:sz w:val="24"/>
              </w:rPr>
            </w:pPr>
            <w:r>
              <w:rPr>
                <w:sz w:val="24"/>
              </w:rPr>
              <w:t>43.9214</w:t>
            </w:r>
          </w:p>
        </w:tc>
        <w:tc>
          <w:tcPr>
            <w:tcW w:w="1260" w:type="dxa"/>
          </w:tcPr>
          <w:p>
            <w:pPr>
              <w:pStyle w:val="TableParagraph"/>
              <w:spacing w:line="271" w:lineRule="exact"/>
              <w:ind w:left="107"/>
              <w:rPr>
                <w:sz w:val="24"/>
              </w:rPr>
            </w:pPr>
            <w:r>
              <w:rPr>
                <w:sz w:val="24"/>
              </w:rPr>
              <w:t>119.5964</w:t>
            </w:r>
          </w:p>
        </w:tc>
        <w:tc>
          <w:tcPr>
            <w:tcW w:w="888" w:type="dxa"/>
          </w:tcPr>
          <w:p>
            <w:pPr>
              <w:pStyle w:val="TableParagraph"/>
              <w:spacing w:line="271" w:lineRule="exact"/>
              <w:ind w:left="191" w:right="112"/>
              <w:jc w:val="center"/>
              <w:rPr>
                <w:sz w:val="24"/>
              </w:rPr>
            </w:pPr>
            <w:r>
              <w:rPr>
                <w:sz w:val="24"/>
              </w:rPr>
              <w:t>5320</w:t>
            </w:r>
          </w:p>
        </w:tc>
        <w:tc>
          <w:tcPr>
            <w:tcW w:w="1452" w:type="dxa"/>
          </w:tcPr>
          <w:p>
            <w:pPr>
              <w:pStyle w:val="TableParagraph"/>
              <w:spacing w:line="271" w:lineRule="exact"/>
              <w:ind w:left="107"/>
              <w:rPr>
                <w:sz w:val="24"/>
              </w:rPr>
            </w:pPr>
            <w:r>
              <w:rPr>
                <w:sz w:val="24"/>
              </w:rPr>
              <w:t>Valley-S</w:t>
            </w:r>
          </w:p>
        </w:tc>
      </w:tr>
      <w:tr>
        <w:trPr>
          <w:trHeight w:val="551" w:hRule="atLeast"/>
        </w:trPr>
        <w:tc>
          <w:tcPr>
            <w:tcW w:w="1080" w:type="dxa"/>
          </w:tcPr>
          <w:p>
            <w:pPr>
              <w:pStyle w:val="TableParagraph"/>
              <w:spacing w:line="271" w:lineRule="exact"/>
              <w:ind w:left="107"/>
              <w:rPr>
                <w:sz w:val="24"/>
              </w:rPr>
            </w:pPr>
            <w:r>
              <w:rPr>
                <w:sz w:val="24"/>
              </w:rPr>
              <w:t>OR642</w:t>
            </w:r>
          </w:p>
        </w:tc>
        <w:tc>
          <w:tcPr>
            <w:tcW w:w="1800" w:type="dxa"/>
          </w:tcPr>
          <w:p>
            <w:pPr>
              <w:pStyle w:val="TableParagraph"/>
              <w:spacing w:line="271" w:lineRule="exact"/>
              <w:ind w:left="107"/>
              <w:rPr>
                <w:sz w:val="24"/>
              </w:rPr>
            </w:pPr>
            <w:r>
              <w:rPr>
                <w:sz w:val="24"/>
              </w:rPr>
              <w:t>Fall Mountain</w:t>
            </w:r>
          </w:p>
        </w:tc>
        <w:tc>
          <w:tcPr>
            <w:tcW w:w="1080" w:type="dxa"/>
          </w:tcPr>
          <w:p>
            <w:pPr>
              <w:pStyle w:val="TableParagraph"/>
              <w:spacing w:line="271" w:lineRule="exact"/>
              <w:ind w:left="107"/>
              <w:rPr>
                <w:sz w:val="24"/>
              </w:rPr>
            </w:pPr>
            <w:r>
              <w:rPr>
                <w:sz w:val="24"/>
              </w:rPr>
              <w:t>353524</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7"/>
              <w:rPr>
                <w:sz w:val="24"/>
              </w:rPr>
            </w:pPr>
            <w:r>
              <w:rPr>
                <w:sz w:val="24"/>
              </w:rPr>
              <w:t>44.2970</w:t>
            </w:r>
          </w:p>
        </w:tc>
        <w:tc>
          <w:tcPr>
            <w:tcW w:w="1260" w:type="dxa"/>
          </w:tcPr>
          <w:p>
            <w:pPr>
              <w:pStyle w:val="TableParagraph"/>
              <w:spacing w:line="271" w:lineRule="exact"/>
              <w:ind w:left="107"/>
              <w:rPr>
                <w:sz w:val="24"/>
              </w:rPr>
            </w:pPr>
            <w:r>
              <w:rPr>
                <w:sz w:val="24"/>
              </w:rPr>
              <w:t>119.0370</w:t>
            </w:r>
          </w:p>
        </w:tc>
        <w:tc>
          <w:tcPr>
            <w:tcW w:w="888" w:type="dxa"/>
          </w:tcPr>
          <w:p>
            <w:pPr>
              <w:pStyle w:val="TableParagraph"/>
              <w:spacing w:line="271" w:lineRule="exact"/>
              <w:ind w:left="191" w:right="112"/>
              <w:jc w:val="center"/>
              <w:rPr>
                <w:sz w:val="24"/>
              </w:rPr>
            </w:pPr>
            <w:r>
              <w:rPr>
                <w:sz w:val="24"/>
              </w:rPr>
              <w:t>5949</w:t>
            </w:r>
          </w:p>
        </w:tc>
        <w:tc>
          <w:tcPr>
            <w:tcW w:w="1452" w:type="dxa"/>
          </w:tcPr>
          <w:p>
            <w:pPr>
              <w:pStyle w:val="TableParagraph"/>
              <w:spacing w:line="271" w:lineRule="exact"/>
              <w:ind w:left="107"/>
              <w:rPr>
                <w:sz w:val="24"/>
              </w:rPr>
            </w:pPr>
            <w:r>
              <w:rPr>
                <w:sz w:val="24"/>
              </w:rPr>
              <w:t>SW-NE</w:t>
            </w:r>
          </w:p>
          <w:p>
            <w:pPr>
              <w:pStyle w:val="TableParagraph"/>
              <w:spacing w:line="260" w:lineRule="exact"/>
              <w:ind w:left="107"/>
              <w:rPr>
                <w:sz w:val="24"/>
              </w:rPr>
            </w:pPr>
            <w:r>
              <w:rPr>
                <w:sz w:val="24"/>
              </w:rPr>
              <w:t>Ridge</w:t>
            </w:r>
          </w:p>
        </w:tc>
      </w:tr>
      <w:tr>
        <w:trPr>
          <w:trHeight w:val="553" w:hRule="atLeast"/>
        </w:trPr>
        <w:tc>
          <w:tcPr>
            <w:tcW w:w="1080" w:type="dxa"/>
          </w:tcPr>
          <w:p>
            <w:pPr>
              <w:pStyle w:val="TableParagraph"/>
              <w:spacing w:line="271" w:lineRule="exact"/>
              <w:ind w:left="107"/>
              <w:rPr>
                <w:sz w:val="24"/>
              </w:rPr>
            </w:pPr>
            <w:r>
              <w:rPr>
                <w:sz w:val="24"/>
              </w:rPr>
              <w:t>OR642</w:t>
            </w:r>
          </w:p>
        </w:tc>
        <w:tc>
          <w:tcPr>
            <w:tcW w:w="1800" w:type="dxa"/>
          </w:tcPr>
          <w:p>
            <w:pPr>
              <w:pStyle w:val="TableParagraph"/>
              <w:spacing w:line="271" w:lineRule="exact"/>
              <w:ind w:left="107"/>
              <w:rPr>
                <w:sz w:val="24"/>
              </w:rPr>
            </w:pPr>
            <w:r>
              <w:rPr>
                <w:sz w:val="24"/>
              </w:rPr>
              <w:t>Antelope</w:t>
            </w:r>
          </w:p>
        </w:tc>
        <w:tc>
          <w:tcPr>
            <w:tcW w:w="1080" w:type="dxa"/>
          </w:tcPr>
          <w:p>
            <w:pPr>
              <w:pStyle w:val="TableParagraph"/>
              <w:spacing w:line="271" w:lineRule="exact"/>
              <w:ind w:left="107"/>
              <w:rPr>
                <w:sz w:val="24"/>
              </w:rPr>
            </w:pPr>
            <w:r>
              <w:rPr>
                <w:sz w:val="24"/>
              </w:rPr>
              <w:t>353524</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BLM</w:t>
            </w:r>
          </w:p>
        </w:tc>
        <w:tc>
          <w:tcPr>
            <w:tcW w:w="1183" w:type="dxa"/>
          </w:tcPr>
          <w:p>
            <w:pPr>
              <w:pStyle w:val="TableParagraph"/>
              <w:spacing w:line="271" w:lineRule="exact"/>
              <w:ind w:left="107"/>
              <w:rPr>
                <w:sz w:val="24"/>
              </w:rPr>
            </w:pPr>
            <w:r>
              <w:rPr>
                <w:sz w:val="24"/>
              </w:rPr>
              <w:t>44.0384</w:t>
            </w:r>
          </w:p>
        </w:tc>
        <w:tc>
          <w:tcPr>
            <w:tcW w:w="1260" w:type="dxa"/>
          </w:tcPr>
          <w:p>
            <w:pPr>
              <w:pStyle w:val="TableParagraph"/>
              <w:spacing w:line="271" w:lineRule="exact"/>
              <w:ind w:left="107"/>
              <w:rPr>
                <w:sz w:val="24"/>
              </w:rPr>
            </w:pPr>
            <w:r>
              <w:rPr>
                <w:sz w:val="24"/>
              </w:rPr>
              <w:t>118.4163</w:t>
            </w:r>
          </w:p>
        </w:tc>
        <w:tc>
          <w:tcPr>
            <w:tcW w:w="888" w:type="dxa"/>
          </w:tcPr>
          <w:p>
            <w:pPr>
              <w:pStyle w:val="TableParagraph"/>
              <w:spacing w:line="271" w:lineRule="exact"/>
              <w:ind w:left="191" w:right="112"/>
              <w:jc w:val="center"/>
              <w:rPr>
                <w:sz w:val="24"/>
              </w:rPr>
            </w:pPr>
            <w:r>
              <w:rPr>
                <w:sz w:val="24"/>
              </w:rPr>
              <w:t>6460</w:t>
            </w:r>
          </w:p>
        </w:tc>
        <w:tc>
          <w:tcPr>
            <w:tcW w:w="1452" w:type="dxa"/>
          </w:tcPr>
          <w:p>
            <w:pPr>
              <w:pStyle w:val="TableParagraph"/>
              <w:spacing w:line="271" w:lineRule="exact"/>
              <w:ind w:left="107"/>
              <w:rPr>
                <w:sz w:val="24"/>
              </w:rPr>
            </w:pPr>
            <w:r>
              <w:rPr>
                <w:sz w:val="24"/>
              </w:rPr>
              <w:t>N-S Ridge</w:t>
            </w:r>
          </w:p>
        </w:tc>
      </w:tr>
      <w:tr>
        <w:trPr>
          <w:trHeight w:val="551" w:hRule="atLeast"/>
        </w:trPr>
        <w:tc>
          <w:tcPr>
            <w:tcW w:w="1080" w:type="dxa"/>
          </w:tcPr>
          <w:p>
            <w:pPr>
              <w:pStyle w:val="TableParagraph"/>
              <w:spacing w:line="271" w:lineRule="exact"/>
              <w:ind w:left="107"/>
              <w:rPr>
                <w:sz w:val="24"/>
              </w:rPr>
            </w:pPr>
            <w:r>
              <w:rPr>
                <w:sz w:val="24"/>
              </w:rPr>
              <w:t>OR642</w:t>
            </w:r>
          </w:p>
        </w:tc>
        <w:tc>
          <w:tcPr>
            <w:tcW w:w="1800" w:type="dxa"/>
          </w:tcPr>
          <w:p>
            <w:pPr>
              <w:pStyle w:val="TableParagraph"/>
              <w:spacing w:line="271" w:lineRule="exact"/>
              <w:ind w:left="107"/>
              <w:rPr>
                <w:sz w:val="24"/>
              </w:rPr>
            </w:pPr>
            <w:r>
              <w:rPr>
                <w:sz w:val="24"/>
              </w:rPr>
              <w:t>Crane Prairie</w:t>
            </w:r>
          </w:p>
        </w:tc>
        <w:tc>
          <w:tcPr>
            <w:tcW w:w="1080" w:type="dxa"/>
          </w:tcPr>
          <w:p>
            <w:pPr>
              <w:pStyle w:val="TableParagraph"/>
              <w:spacing w:line="271" w:lineRule="exact"/>
              <w:ind w:left="107"/>
              <w:rPr>
                <w:sz w:val="24"/>
              </w:rPr>
            </w:pPr>
            <w:r>
              <w:rPr>
                <w:sz w:val="24"/>
              </w:rPr>
              <w:t>352305</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7"/>
              <w:rPr>
                <w:sz w:val="24"/>
              </w:rPr>
            </w:pPr>
            <w:r>
              <w:rPr>
                <w:sz w:val="24"/>
              </w:rPr>
              <w:t>44.1601</w:t>
            </w:r>
          </w:p>
        </w:tc>
        <w:tc>
          <w:tcPr>
            <w:tcW w:w="1260" w:type="dxa"/>
          </w:tcPr>
          <w:p>
            <w:pPr>
              <w:pStyle w:val="TableParagraph"/>
              <w:spacing w:line="271" w:lineRule="exact"/>
              <w:ind w:left="107"/>
              <w:rPr>
                <w:sz w:val="24"/>
              </w:rPr>
            </w:pPr>
            <w:r>
              <w:rPr>
                <w:sz w:val="24"/>
              </w:rPr>
              <w:t>118.4704</w:t>
            </w:r>
          </w:p>
        </w:tc>
        <w:tc>
          <w:tcPr>
            <w:tcW w:w="888" w:type="dxa"/>
          </w:tcPr>
          <w:p>
            <w:pPr>
              <w:pStyle w:val="TableParagraph"/>
              <w:spacing w:line="271" w:lineRule="exact"/>
              <w:ind w:left="191" w:right="112"/>
              <w:jc w:val="center"/>
              <w:rPr>
                <w:sz w:val="24"/>
              </w:rPr>
            </w:pPr>
            <w:r>
              <w:rPr>
                <w:sz w:val="24"/>
              </w:rPr>
              <w:t>5373</w:t>
            </w:r>
          </w:p>
        </w:tc>
        <w:tc>
          <w:tcPr>
            <w:tcW w:w="1452" w:type="dxa"/>
          </w:tcPr>
          <w:p>
            <w:pPr>
              <w:pStyle w:val="TableParagraph"/>
              <w:spacing w:line="271" w:lineRule="exact"/>
              <w:ind w:left="107"/>
              <w:rPr>
                <w:sz w:val="24"/>
              </w:rPr>
            </w:pPr>
            <w:r>
              <w:rPr>
                <w:sz w:val="24"/>
              </w:rPr>
              <w:t>Valley-S</w:t>
            </w:r>
          </w:p>
        </w:tc>
      </w:tr>
      <w:tr>
        <w:trPr>
          <w:trHeight w:val="551" w:hRule="atLeast"/>
        </w:trPr>
        <w:tc>
          <w:tcPr>
            <w:tcW w:w="1080" w:type="dxa"/>
          </w:tcPr>
          <w:p>
            <w:pPr>
              <w:pStyle w:val="TableParagraph"/>
              <w:spacing w:line="271" w:lineRule="exact"/>
              <w:ind w:left="107"/>
              <w:rPr>
                <w:sz w:val="24"/>
              </w:rPr>
            </w:pPr>
            <w:r>
              <w:rPr>
                <w:sz w:val="24"/>
              </w:rPr>
              <w:t>OR642</w:t>
            </w:r>
          </w:p>
        </w:tc>
        <w:tc>
          <w:tcPr>
            <w:tcW w:w="1800" w:type="dxa"/>
          </w:tcPr>
          <w:p>
            <w:pPr>
              <w:pStyle w:val="TableParagraph"/>
              <w:spacing w:line="271" w:lineRule="exact"/>
              <w:ind w:left="107"/>
              <w:rPr>
                <w:sz w:val="24"/>
              </w:rPr>
            </w:pPr>
            <w:r>
              <w:rPr>
                <w:sz w:val="24"/>
              </w:rPr>
              <w:t>Yellowpine</w:t>
            </w:r>
          </w:p>
        </w:tc>
        <w:tc>
          <w:tcPr>
            <w:tcW w:w="1080" w:type="dxa"/>
          </w:tcPr>
          <w:p>
            <w:pPr>
              <w:pStyle w:val="TableParagraph"/>
              <w:spacing w:line="271" w:lineRule="exact"/>
              <w:ind w:left="107"/>
              <w:rPr>
                <w:sz w:val="24"/>
              </w:rPr>
            </w:pPr>
            <w:r>
              <w:rPr>
                <w:sz w:val="24"/>
              </w:rPr>
              <w:t>352124</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7"/>
              <w:rPr>
                <w:sz w:val="24"/>
              </w:rPr>
            </w:pPr>
            <w:r>
              <w:rPr>
                <w:sz w:val="24"/>
              </w:rPr>
              <w:t>44.5263</w:t>
            </w:r>
          </w:p>
        </w:tc>
        <w:tc>
          <w:tcPr>
            <w:tcW w:w="1260" w:type="dxa"/>
          </w:tcPr>
          <w:p>
            <w:pPr>
              <w:pStyle w:val="TableParagraph"/>
              <w:spacing w:line="271" w:lineRule="exact"/>
              <w:ind w:left="107"/>
              <w:rPr>
                <w:sz w:val="24"/>
              </w:rPr>
            </w:pPr>
            <w:r>
              <w:rPr>
                <w:sz w:val="24"/>
              </w:rPr>
              <w:t>118.3230</w:t>
            </w:r>
          </w:p>
        </w:tc>
        <w:tc>
          <w:tcPr>
            <w:tcW w:w="888" w:type="dxa"/>
          </w:tcPr>
          <w:p>
            <w:pPr>
              <w:pStyle w:val="TableParagraph"/>
              <w:spacing w:line="271" w:lineRule="exact"/>
              <w:ind w:left="191" w:right="112"/>
              <w:jc w:val="center"/>
              <w:rPr>
                <w:sz w:val="24"/>
              </w:rPr>
            </w:pPr>
            <w:r>
              <w:rPr>
                <w:sz w:val="24"/>
              </w:rPr>
              <w:t>4200</w:t>
            </w:r>
          </w:p>
        </w:tc>
        <w:tc>
          <w:tcPr>
            <w:tcW w:w="1452" w:type="dxa"/>
          </w:tcPr>
          <w:p>
            <w:pPr>
              <w:pStyle w:val="TableParagraph"/>
              <w:spacing w:line="271" w:lineRule="exact"/>
              <w:ind w:left="107"/>
              <w:rPr>
                <w:sz w:val="24"/>
              </w:rPr>
            </w:pPr>
            <w:r>
              <w:rPr>
                <w:sz w:val="24"/>
              </w:rPr>
              <w:t>Lwr slope-E</w:t>
            </w:r>
          </w:p>
        </w:tc>
      </w:tr>
      <w:tr>
        <w:trPr>
          <w:trHeight w:val="277" w:hRule="atLeast"/>
        </w:trPr>
        <w:tc>
          <w:tcPr>
            <w:tcW w:w="1080" w:type="dxa"/>
          </w:tcPr>
          <w:p>
            <w:pPr>
              <w:pStyle w:val="TableParagraph"/>
              <w:rPr>
                <w:rFonts w:ascii="Times New Roman"/>
                <w:sz w:val="20"/>
              </w:rPr>
            </w:pPr>
          </w:p>
        </w:tc>
        <w:tc>
          <w:tcPr>
            <w:tcW w:w="1800" w:type="dxa"/>
          </w:tcPr>
          <w:p>
            <w:pPr>
              <w:pStyle w:val="TableParagraph"/>
              <w:rPr>
                <w:rFonts w:ascii="Times New Roman"/>
                <w:sz w:val="20"/>
              </w:rPr>
            </w:pPr>
          </w:p>
        </w:tc>
        <w:tc>
          <w:tcPr>
            <w:tcW w:w="1080" w:type="dxa"/>
          </w:tcPr>
          <w:p>
            <w:pPr>
              <w:pStyle w:val="TableParagraph"/>
              <w:rPr>
                <w:rFonts w:ascii="Times New Roman"/>
                <w:sz w:val="20"/>
              </w:rPr>
            </w:pPr>
          </w:p>
        </w:tc>
        <w:tc>
          <w:tcPr>
            <w:tcW w:w="1080" w:type="dxa"/>
          </w:tcPr>
          <w:p>
            <w:pPr>
              <w:pStyle w:val="TableParagraph"/>
              <w:rPr>
                <w:rFonts w:ascii="Times New Roman"/>
                <w:sz w:val="20"/>
              </w:rPr>
            </w:pPr>
          </w:p>
        </w:tc>
        <w:tc>
          <w:tcPr>
            <w:tcW w:w="977" w:type="dxa"/>
          </w:tcPr>
          <w:p>
            <w:pPr>
              <w:pStyle w:val="TableParagraph"/>
              <w:rPr>
                <w:rFonts w:ascii="Times New Roman"/>
                <w:sz w:val="20"/>
              </w:rPr>
            </w:pPr>
          </w:p>
        </w:tc>
        <w:tc>
          <w:tcPr>
            <w:tcW w:w="1183" w:type="dxa"/>
          </w:tcPr>
          <w:p>
            <w:pPr>
              <w:pStyle w:val="TableParagraph"/>
              <w:rPr>
                <w:rFonts w:ascii="Times New Roman"/>
                <w:sz w:val="20"/>
              </w:rPr>
            </w:pPr>
          </w:p>
        </w:tc>
        <w:tc>
          <w:tcPr>
            <w:tcW w:w="1260" w:type="dxa"/>
          </w:tcPr>
          <w:p>
            <w:pPr>
              <w:pStyle w:val="TableParagraph"/>
              <w:rPr>
                <w:rFonts w:ascii="Times New Roman"/>
                <w:sz w:val="20"/>
              </w:rPr>
            </w:pPr>
          </w:p>
        </w:tc>
        <w:tc>
          <w:tcPr>
            <w:tcW w:w="888" w:type="dxa"/>
          </w:tcPr>
          <w:p>
            <w:pPr>
              <w:pStyle w:val="TableParagraph"/>
              <w:rPr>
                <w:rFonts w:ascii="Times New Roman"/>
                <w:sz w:val="20"/>
              </w:rPr>
            </w:pPr>
          </w:p>
        </w:tc>
        <w:tc>
          <w:tcPr>
            <w:tcW w:w="1452" w:type="dxa"/>
          </w:tcPr>
          <w:p>
            <w:pPr>
              <w:pStyle w:val="TableParagraph"/>
              <w:rPr>
                <w:rFonts w:ascii="Times New Roman"/>
                <w:sz w:val="20"/>
              </w:rPr>
            </w:pPr>
          </w:p>
        </w:tc>
      </w:tr>
      <w:tr>
        <w:trPr>
          <w:trHeight w:val="551" w:hRule="atLeast"/>
        </w:trPr>
        <w:tc>
          <w:tcPr>
            <w:tcW w:w="1080" w:type="dxa"/>
          </w:tcPr>
          <w:p>
            <w:pPr>
              <w:pStyle w:val="TableParagraph"/>
              <w:spacing w:line="271" w:lineRule="exact"/>
              <w:ind w:left="107"/>
              <w:rPr>
                <w:sz w:val="24"/>
              </w:rPr>
            </w:pPr>
            <w:r>
              <w:rPr>
                <w:sz w:val="24"/>
              </w:rPr>
              <w:t>WA643</w:t>
            </w:r>
          </w:p>
        </w:tc>
        <w:tc>
          <w:tcPr>
            <w:tcW w:w="1800" w:type="dxa"/>
          </w:tcPr>
          <w:p>
            <w:pPr>
              <w:pStyle w:val="TableParagraph"/>
              <w:spacing w:line="271" w:lineRule="exact"/>
              <w:ind w:left="107"/>
              <w:rPr>
                <w:sz w:val="24"/>
              </w:rPr>
            </w:pPr>
            <w:r>
              <w:rPr>
                <w:sz w:val="24"/>
              </w:rPr>
              <w:t>Alder Ridge</w:t>
            </w:r>
          </w:p>
        </w:tc>
        <w:tc>
          <w:tcPr>
            <w:tcW w:w="1080" w:type="dxa"/>
          </w:tcPr>
          <w:p>
            <w:pPr>
              <w:pStyle w:val="TableParagraph"/>
              <w:spacing w:line="271" w:lineRule="exact"/>
              <w:ind w:left="107"/>
              <w:rPr>
                <w:sz w:val="24"/>
              </w:rPr>
            </w:pPr>
            <w:r>
              <w:rPr>
                <w:sz w:val="24"/>
              </w:rPr>
              <w:t>453803</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7"/>
              <w:rPr>
                <w:sz w:val="24"/>
              </w:rPr>
            </w:pPr>
            <w:r>
              <w:rPr>
                <w:sz w:val="24"/>
              </w:rPr>
              <w:t>46.2685</w:t>
            </w:r>
          </w:p>
        </w:tc>
        <w:tc>
          <w:tcPr>
            <w:tcW w:w="1260" w:type="dxa"/>
          </w:tcPr>
          <w:p>
            <w:pPr>
              <w:pStyle w:val="TableParagraph"/>
              <w:spacing w:line="271" w:lineRule="exact"/>
              <w:ind w:left="107"/>
              <w:rPr>
                <w:sz w:val="24"/>
              </w:rPr>
            </w:pPr>
            <w:r>
              <w:rPr>
                <w:sz w:val="24"/>
              </w:rPr>
              <w:t>117.4983</w:t>
            </w:r>
          </w:p>
        </w:tc>
        <w:tc>
          <w:tcPr>
            <w:tcW w:w="888" w:type="dxa"/>
          </w:tcPr>
          <w:p>
            <w:pPr>
              <w:pStyle w:val="TableParagraph"/>
              <w:spacing w:line="271" w:lineRule="exact"/>
              <w:ind w:left="191" w:right="112"/>
              <w:jc w:val="center"/>
              <w:rPr>
                <w:sz w:val="24"/>
              </w:rPr>
            </w:pPr>
            <w:r>
              <w:rPr>
                <w:sz w:val="24"/>
              </w:rPr>
              <w:t>4550</w:t>
            </w:r>
          </w:p>
        </w:tc>
        <w:tc>
          <w:tcPr>
            <w:tcW w:w="1452" w:type="dxa"/>
          </w:tcPr>
          <w:p>
            <w:pPr>
              <w:pStyle w:val="TableParagraph"/>
              <w:spacing w:line="271" w:lineRule="exact"/>
              <w:ind w:left="107"/>
              <w:rPr>
                <w:sz w:val="24"/>
              </w:rPr>
            </w:pPr>
            <w:r>
              <w:rPr>
                <w:sz w:val="24"/>
              </w:rPr>
              <w:t>Ridge-S</w:t>
            </w:r>
          </w:p>
        </w:tc>
      </w:tr>
      <w:tr>
        <w:trPr>
          <w:trHeight w:val="551" w:hRule="atLeast"/>
        </w:trPr>
        <w:tc>
          <w:tcPr>
            <w:tcW w:w="1080" w:type="dxa"/>
          </w:tcPr>
          <w:p>
            <w:pPr>
              <w:pStyle w:val="TableParagraph"/>
              <w:spacing w:line="271" w:lineRule="exact"/>
              <w:ind w:left="107"/>
              <w:rPr>
                <w:sz w:val="24"/>
              </w:rPr>
            </w:pPr>
            <w:r>
              <w:rPr>
                <w:sz w:val="24"/>
              </w:rPr>
              <w:t>OR643</w:t>
            </w:r>
          </w:p>
        </w:tc>
        <w:tc>
          <w:tcPr>
            <w:tcW w:w="1800" w:type="dxa"/>
          </w:tcPr>
          <w:p>
            <w:pPr>
              <w:pStyle w:val="TableParagraph"/>
              <w:spacing w:line="271" w:lineRule="exact"/>
              <w:ind w:left="107"/>
              <w:rPr>
                <w:sz w:val="24"/>
              </w:rPr>
            </w:pPr>
            <w:r>
              <w:rPr>
                <w:sz w:val="24"/>
              </w:rPr>
              <w:t>Eden</w:t>
            </w:r>
          </w:p>
        </w:tc>
        <w:tc>
          <w:tcPr>
            <w:tcW w:w="1080" w:type="dxa"/>
          </w:tcPr>
          <w:p>
            <w:pPr>
              <w:pStyle w:val="TableParagraph"/>
              <w:spacing w:line="271" w:lineRule="exact"/>
              <w:ind w:left="107"/>
              <w:rPr>
                <w:sz w:val="24"/>
              </w:rPr>
            </w:pPr>
            <w:r>
              <w:rPr>
                <w:sz w:val="24"/>
              </w:rPr>
              <w:t>351518</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7"/>
              <w:rPr>
                <w:sz w:val="24"/>
              </w:rPr>
            </w:pPr>
            <w:r>
              <w:rPr>
                <w:sz w:val="24"/>
              </w:rPr>
              <w:t>45.8763</w:t>
            </w:r>
          </w:p>
        </w:tc>
        <w:tc>
          <w:tcPr>
            <w:tcW w:w="1260" w:type="dxa"/>
          </w:tcPr>
          <w:p>
            <w:pPr>
              <w:pStyle w:val="TableParagraph"/>
              <w:spacing w:line="271" w:lineRule="exact"/>
              <w:ind w:left="107"/>
              <w:rPr>
                <w:sz w:val="24"/>
              </w:rPr>
            </w:pPr>
            <w:r>
              <w:rPr>
                <w:sz w:val="24"/>
              </w:rPr>
              <w:t>117.6160</w:t>
            </w:r>
          </w:p>
        </w:tc>
        <w:tc>
          <w:tcPr>
            <w:tcW w:w="888" w:type="dxa"/>
          </w:tcPr>
          <w:p>
            <w:pPr>
              <w:pStyle w:val="TableParagraph"/>
              <w:spacing w:line="271" w:lineRule="exact"/>
              <w:ind w:left="191" w:right="112"/>
              <w:jc w:val="center"/>
              <w:rPr>
                <w:sz w:val="24"/>
              </w:rPr>
            </w:pPr>
            <w:r>
              <w:rPr>
                <w:sz w:val="24"/>
              </w:rPr>
              <w:t>3500</w:t>
            </w:r>
          </w:p>
        </w:tc>
        <w:tc>
          <w:tcPr>
            <w:tcW w:w="1452" w:type="dxa"/>
          </w:tcPr>
          <w:p>
            <w:pPr>
              <w:pStyle w:val="TableParagraph"/>
              <w:spacing w:line="271" w:lineRule="exact"/>
              <w:ind w:left="107"/>
              <w:rPr>
                <w:sz w:val="24"/>
              </w:rPr>
            </w:pPr>
            <w:r>
              <w:rPr>
                <w:sz w:val="24"/>
              </w:rPr>
              <w:t>Upr slope-S</w:t>
            </w:r>
          </w:p>
        </w:tc>
      </w:tr>
      <w:tr>
        <w:trPr>
          <w:trHeight w:val="551" w:hRule="atLeast"/>
        </w:trPr>
        <w:tc>
          <w:tcPr>
            <w:tcW w:w="1080" w:type="dxa"/>
          </w:tcPr>
          <w:p>
            <w:pPr>
              <w:pStyle w:val="TableParagraph"/>
              <w:spacing w:line="271" w:lineRule="exact"/>
              <w:ind w:left="107"/>
              <w:rPr>
                <w:sz w:val="24"/>
              </w:rPr>
            </w:pPr>
            <w:r>
              <w:rPr>
                <w:sz w:val="24"/>
              </w:rPr>
              <w:t>OR643</w:t>
            </w:r>
          </w:p>
        </w:tc>
        <w:tc>
          <w:tcPr>
            <w:tcW w:w="1800" w:type="dxa"/>
          </w:tcPr>
          <w:p>
            <w:pPr>
              <w:pStyle w:val="TableParagraph"/>
              <w:spacing w:line="271" w:lineRule="exact"/>
              <w:ind w:left="107"/>
              <w:rPr>
                <w:sz w:val="24"/>
              </w:rPr>
            </w:pPr>
            <w:r>
              <w:rPr>
                <w:sz w:val="24"/>
              </w:rPr>
              <w:t>Black Mtn Rdg</w:t>
            </w:r>
          </w:p>
        </w:tc>
        <w:tc>
          <w:tcPr>
            <w:tcW w:w="1080" w:type="dxa"/>
          </w:tcPr>
          <w:p>
            <w:pPr>
              <w:pStyle w:val="TableParagraph"/>
              <w:spacing w:line="271" w:lineRule="exact"/>
              <w:ind w:left="107"/>
              <w:rPr>
                <w:sz w:val="24"/>
              </w:rPr>
            </w:pPr>
            <w:r>
              <w:rPr>
                <w:sz w:val="24"/>
              </w:rPr>
              <w:t>351319</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7"/>
              <w:rPr>
                <w:sz w:val="24"/>
              </w:rPr>
            </w:pPr>
            <w:r>
              <w:rPr>
                <w:sz w:val="24"/>
              </w:rPr>
              <w:t>45.5738</w:t>
            </w:r>
          </w:p>
        </w:tc>
        <w:tc>
          <w:tcPr>
            <w:tcW w:w="1260" w:type="dxa"/>
          </w:tcPr>
          <w:p>
            <w:pPr>
              <w:pStyle w:val="TableParagraph"/>
              <w:spacing w:line="271" w:lineRule="exact"/>
              <w:ind w:left="107"/>
              <w:rPr>
                <w:sz w:val="24"/>
              </w:rPr>
            </w:pPr>
            <w:r>
              <w:rPr>
                <w:sz w:val="24"/>
              </w:rPr>
              <w:t>118.2385</w:t>
            </w:r>
          </w:p>
        </w:tc>
        <w:tc>
          <w:tcPr>
            <w:tcW w:w="888" w:type="dxa"/>
          </w:tcPr>
          <w:p>
            <w:pPr>
              <w:pStyle w:val="TableParagraph"/>
              <w:spacing w:line="271" w:lineRule="exact"/>
              <w:ind w:left="191" w:right="112"/>
              <w:jc w:val="center"/>
              <w:rPr>
                <w:sz w:val="24"/>
              </w:rPr>
            </w:pPr>
            <w:r>
              <w:rPr>
                <w:sz w:val="24"/>
              </w:rPr>
              <w:t>4965</w:t>
            </w:r>
          </w:p>
        </w:tc>
        <w:tc>
          <w:tcPr>
            <w:tcW w:w="1452" w:type="dxa"/>
          </w:tcPr>
          <w:p>
            <w:pPr>
              <w:pStyle w:val="TableParagraph"/>
              <w:spacing w:line="271" w:lineRule="exact"/>
              <w:ind w:left="107"/>
              <w:rPr>
                <w:sz w:val="24"/>
              </w:rPr>
            </w:pPr>
            <w:r>
              <w:rPr>
                <w:sz w:val="24"/>
              </w:rPr>
              <w:t>Ridge-Sw</w:t>
            </w:r>
          </w:p>
        </w:tc>
      </w:tr>
      <w:tr>
        <w:trPr>
          <w:trHeight w:val="554" w:hRule="atLeast"/>
        </w:trPr>
        <w:tc>
          <w:tcPr>
            <w:tcW w:w="1080" w:type="dxa"/>
          </w:tcPr>
          <w:p>
            <w:pPr>
              <w:pStyle w:val="TableParagraph"/>
              <w:spacing w:line="274" w:lineRule="exact"/>
              <w:ind w:left="107"/>
              <w:rPr>
                <w:sz w:val="24"/>
              </w:rPr>
            </w:pPr>
            <w:r>
              <w:rPr>
                <w:sz w:val="24"/>
              </w:rPr>
              <w:t>OR643</w:t>
            </w:r>
          </w:p>
        </w:tc>
        <w:tc>
          <w:tcPr>
            <w:tcW w:w="1800" w:type="dxa"/>
          </w:tcPr>
          <w:p>
            <w:pPr>
              <w:pStyle w:val="TableParagraph"/>
              <w:spacing w:line="274" w:lineRule="exact"/>
              <w:ind w:left="107"/>
              <w:rPr>
                <w:sz w:val="24"/>
              </w:rPr>
            </w:pPr>
            <w:r>
              <w:rPr>
                <w:sz w:val="24"/>
              </w:rPr>
              <w:t>LaGrande 1</w:t>
            </w:r>
          </w:p>
        </w:tc>
        <w:tc>
          <w:tcPr>
            <w:tcW w:w="1080" w:type="dxa"/>
          </w:tcPr>
          <w:p>
            <w:pPr>
              <w:pStyle w:val="TableParagraph"/>
              <w:spacing w:line="274" w:lineRule="exact"/>
              <w:ind w:left="107"/>
              <w:rPr>
                <w:sz w:val="24"/>
              </w:rPr>
            </w:pPr>
            <w:r>
              <w:rPr>
                <w:sz w:val="24"/>
              </w:rPr>
              <w:t>351417</w:t>
            </w:r>
          </w:p>
        </w:tc>
        <w:tc>
          <w:tcPr>
            <w:tcW w:w="1080" w:type="dxa"/>
          </w:tcPr>
          <w:p>
            <w:pPr>
              <w:pStyle w:val="TableParagraph"/>
              <w:spacing w:line="274" w:lineRule="exact"/>
              <w:ind w:left="107"/>
              <w:rPr>
                <w:sz w:val="24"/>
              </w:rPr>
            </w:pPr>
            <w:r>
              <w:rPr>
                <w:sz w:val="24"/>
              </w:rPr>
              <w:t>RAWS</w:t>
            </w:r>
          </w:p>
        </w:tc>
        <w:tc>
          <w:tcPr>
            <w:tcW w:w="977" w:type="dxa"/>
          </w:tcPr>
          <w:p>
            <w:pPr>
              <w:pStyle w:val="TableParagraph"/>
              <w:spacing w:line="274" w:lineRule="exact"/>
              <w:ind w:left="107"/>
              <w:rPr>
                <w:sz w:val="24"/>
              </w:rPr>
            </w:pPr>
            <w:r>
              <w:rPr>
                <w:sz w:val="24"/>
              </w:rPr>
              <w:t>ODF</w:t>
            </w:r>
          </w:p>
        </w:tc>
        <w:tc>
          <w:tcPr>
            <w:tcW w:w="1183" w:type="dxa"/>
          </w:tcPr>
          <w:p>
            <w:pPr>
              <w:pStyle w:val="TableParagraph"/>
              <w:spacing w:line="274" w:lineRule="exact"/>
              <w:ind w:left="107"/>
              <w:rPr>
                <w:sz w:val="24"/>
              </w:rPr>
            </w:pPr>
            <w:r>
              <w:rPr>
                <w:sz w:val="24"/>
              </w:rPr>
              <w:t>45.5508</w:t>
            </w:r>
          </w:p>
        </w:tc>
        <w:tc>
          <w:tcPr>
            <w:tcW w:w="1260" w:type="dxa"/>
          </w:tcPr>
          <w:p>
            <w:pPr>
              <w:pStyle w:val="TableParagraph"/>
              <w:spacing w:line="274" w:lineRule="exact"/>
              <w:ind w:left="107"/>
              <w:rPr>
                <w:sz w:val="24"/>
              </w:rPr>
            </w:pPr>
            <w:r>
              <w:rPr>
                <w:sz w:val="24"/>
              </w:rPr>
              <w:t>118.0133</w:t>
            </w:r>
          </w:p>
        </w:tc>
        <w:tc>
          <w:tcPr>
            <w:tcW w:w="888" w:type="dxa"/>
          </w:tcPr>
          <w:p>
            <w:pPr>
              <w:pStyle w:val="TableParagraph"/>
              <w:spacing w:line="274" w:lineRule="exact"/>
              <w:ind w:left="191" w:right="112"/>
              <w:jc w:val="center"/>
              <w:rPr>
                <w:sz w:val="24"/>
              </w:rPr>
            </w:pPr>
            <w:r>
              <w:rPr>
                <w:sz w:val="24"/>
              </w:rPr>
              <w:t>3079</w:t>
            </w:r>
          </w:p>
        </w:tc>
        <w:tc>
          <w:tcPr>
            <w:tcW w:w="1452" w:type="dxa"/>
          </w:tcPr>
          <w:p>
            <w:pPr>
              <w:pStyle w:val="TableParagraph"/>
              <w:spacing w:line="274" w:lineRule="exact"/>
              <w:ind w:left="107"/>
              <w:rPr>
                <w:sz w:val="24"/>
              </w:rPr>
            </w:pPr>
            <w:r>
              <w:rPr>
                <w:sz w:val="24"/>
              </w:rPr>
              <w:t>Lwr slope-E</w:t>
            </w:r>
          </w:p>
        </w:tc>
      </w:tr>
      <w:tr>
        <w:trPr>
          <w:trHeight w:val="275" w:hRule="atLeast"/>
        </w:trPr>
        <w:tc>
          <w:tcPr>
            <w:tcW w:w="1080" w:type="dxa"/>
          </w:tcPr>
          <w:p>
            <w:pPr>
              <w:pStyle w:val="TableParagraph"/>
              <w:rPr>
                <w:rFonts w:ascii="Times New Roman"/>
                <w:sz w:val="20"/>
              </w:rPr>
            </w:pPr>
          </w:p>
        </w:tc>
        <w:tc>
          <w:tcPr>
            <w:tcW w:w="1800" w:type="dxa"/>
          </w:tcPr>
          <w:p>
            <w:pPr>
              <w:pStyle w:val="TableParagraph"/>
              <w:rPr>
                <w:rFonts w:ascii="Times New Roman"/>
                <w:sz w:val="20"/>
              </w:rPr>
            </w:pPr>
          </w:p>
        </w:tc>
        <w:tc>
          <w:tcPr>
            <w:tcW w:w="1080" w:type="dxa"/>
          </w:tcPr>
          <w:p>
            <w:pPr>
              <w:pStyle w:val="TableParagraph"/>
              <w:rPr>
                <w:rFonts w:ascii="Times New Roman"/>
                <w:sz w:val="20"/>
              </w:rPr>
            </w:pPr>
          </w:p>
        </w:tc>
        <w:tc>
          <w:tcPr>
            <w:tcW w:w="1080" w:type="dxa"/>
          </w:tcPr>
          <w:p>
            <w:pPr>
              <w:pStyle w:val="TableParagraph"/>
              <w:rPr>
                <w:rFonts w:ascii="Times New Roman"/>
                <w:sz w:val="20"/>
              </w:rPr>
            </w:pPr>
          </w:p>
        </w:tc>
        <w:tc>
          <w:tcPr>
            <w:tcW w:w="977" w:type="dxa"/>
          </w:tcPr>
          <w:p>
            <w:pPr>
              <w:pStyle w:val="TableParagraph"/>
              <w:rPr>
                <w:rFonts w:ascii="Times New Roman"/>
                <w:sz w:val="20"/>
              </w:rPr>
            </w:pPr>
          </w:p>
        </w:tc>
        <w:tc>
          <w:tcPr>
            <w:tcW w:w="1183" w:type="dxa"/>
          </w:tcPr>
          <w:p>
            <w:pPr>
              <w:pStyle w:val="TableParagraph"/>
              <w:rPr>
                <w:rFonts w:ascii="Times New Roman"/>
                <w:sz w:val="20"/>
              </w:rPr>
            </w:pPr>
          </w:p>
        </w:tc>
        <w:tc>
          <w:tcPr>
            <w:tcW w:w="1260" w:type="dxa"/>
          </w:tcPr>
          <w:p>
            <w:pPr>
              <w:pStyle w:val="TableParagraph"/>
              <w:rPr>
                <w:rFonts w:ascii="Times New Roman"/>
                <w:sz w:val="20"/>
              </w:rPr>
            </w:pPr>
          </w:p>
        </w:tc>
        <w:tc>
          <w:tcPr>
            <w:tcW w:w="888" w:type="dxa"/>
          </w:tcPr>
          <w:p>
            <w:pPr>
              <w:pStyle w:val="TableParagraph"/>
              <w:rPr>
                <w:rFonts w:ascii="Times New Roman"/>
                <w:sz w:val="20"/>
              </w:rPr>
            </w:pPr>
          </w:p>
        </w:tc>
        <w:tc>
          <w:tcPr>
            <w:tcW w:w="1452" w:type="dxa"/>
          </w:tcPr>
          <w:p>
            <w:pPr>
              <w:pStyle w:val="TableParagraph"/>
              <w:rPr>
                <w:rFonts w:ascii="Times New Roman"/>
                <w:sz w:val="20"/>
              </w:rPr>
            </w:pPr>
          </w:p>
        </w:tc>
      </w:tr>
      <w:tr>
        <w:trPr>
          <w:trHeight w:val="554" w:hRule="atLeast"/>
        </w:trPr>
        <w:tc>
          <w:tcPr>
            <w:tcW w:w="1080" w:type="dxa"/>
          </w:tcPr>
          <w:p>
            <w:pPr>
              <w:pStyle w:val="TableParagraph"/>
              <w:spacing w:line="271" w:lineRule="exact"/>
              <w:ind w:left="107"/>
              <w:rPr>
                <w:sz w:val="24"/>
              </w:rPr>
            </w:pPr>
            <w:r>
              <w:rPr>
                <w:sz w:val="24"/>
              </w:rPr>
              <w:t>OR644</w:t>
            </w:r>
          </w:p>
        </w:tc>
        <w:tc>
          <w:tcPr>
            <w:tcW w:w="1800" w:type="dxa"/>
          </w:tcPr>
          <w:p>
            <w:pPr>
              <w:pStyle w:val="TableParagraph"/>
              <w:spacing w:line="271" w:lineRule="exact"/>
              <w:ind w:left="107"/>
              <w:rPr>
                <w:sz w:val="24"/>
              </w:rPr>
            </w:pPr>
            <w:r>
              <w:rPr>
                <w:sz w:val="24"/>
              </w:rPr>
              <w:t>Case</w:t>
            </w:r>
          </w:p>
        </w:tc>
        <w:tc>
          <w:tcPr>
            <w:tcW w:w="1080" w:type="dxa"/>
          </w:tcPr>
          <w:p>
            <w:pPr>
              <w:pStyle w:val="TableParagraph"/>
              <w:spacing w:line="271" w:lineRule="exact"/>
              <w:ind w:left="107"/>
              <w:rPr>
                <w:sz w:val="24"/>
              </w:rPr>
            </w:pPr>
            <w:r>
              <w:rPr>
                <w:sz w:val="24"/>
              </w:rPr>
              <w:t>352329</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7"/>
              <w:rPr>
                <w:sz w:val="24"/>
              </w:rPr>
            </w:pPr>
            <w:r>
              <w:rPr>
                <w:sz w:val="24"/>
              </w:rPr>
              <w:t>44.9711</w:t>
            </w:r>
          </w:p>
        </w:tc>
        <w:tc>
          <w:tcPr>
            <w:tcW w:w="1260" w:type="dxa"/>
          </w:tcPr>
          <w:p>
            <w:pPr>
              <w:pStyle w:val="TableParagraph"/>
              <w:spacing w:line="271" w:lineRule="exact"/>
              <w:ind w:left="107"/>
              <w:rPr>
                <w:sz w:val="24"/>
              </w:rPr>
            </w:pPr>
            <w:r>
              <w:rPr>
                <w:sz w:val="24"/>
              </w:rPr>
              <w:t>118.9297</w:t>
            </w:r>
          </w:p>
        </w:tc>
        <w:tc>
          <w:tcPr>
            <w:tcW w:w="888" w:type="dxa"/>
          </w:tcPr>
          <w:p>
            <w:pPr>
              <w:pStyle w:val="TableParagraph"/>
              <w:spacing w:line="271" w:lineRule="exact"/>
              <w:ind w:left="191" w:right="112"/>
              <w:jc w:val="center"/>
              <w:rPr>
                <w:sz w:val="24"/>
              </w:rPr>
            </w:pPr>
            <w:r>
              <w:rPr>
                <w:sz w:val="24"/>
              </w:rPr>
              <w:t>3800</w:t>
            </w:r>
          </w:p>
        </w:tc>
        <w:tc>
          <w:tcPr>
            <w:tcW w:w="1452" w:type="dxa"/>
          </w:tcPr>
          <w:p>
            <w:pPr>
              <w:pStyle w:val="TableParagraph"/>
              <w:spacing w:line="271" w:lineRule="exact"/>
              <w:ind w:left="107"/>
              <w:rPr>
                <w:sz w:val="24"/>
              </w:rPr>
            </w:pPr>
            <w:r>
              <w:rPr>
                <w:sz w:val="24"/>
              </w:rPr>
              <w:t>Ridge-flat</w:t>
            </w:r>
          </w:p>
        </w:tc>
      </w:tr>
      <w:tr>
        <w:trPr>
          <w:trHeight w:val="551" w:hRule="atLeast"/>
        </w:trPr>
        <w:tc>
          <w:tcPr>
            <w:tcW w:w="1080" w:type="dxa"/>
          </w:tcPr>
          <w:p>
            <w:pPr>
              <w:pStyle w:val="TableParagraph"/>
              <w:spacing w:line="271" w:lineRule="exact"/>
              <w:ind w:left="107"/>
              <w:rPr>
                <w:sz w:val="24"/>
              </w:rPr>
            </w:pPr>
            <w:r>
              <w:rPr>
                <w:sz w:val="24"/>
              </w:rPr>
              <w:t>OR644</w:t>
            </w:r>
          </w:p>
        </w:tc>
        <w:tc>
          <w:tcPr>
            <w:tcW w:w="1800" w:type="dxa"/>
          </w:tcPr>
          <w:p>
            <w:pPr>
              <w:pStyle w:val="TableParagraph"/>
              <w:spacing w:line="271" w:lineRule="exact"/>
              <w:ind w:left="107"/>
              <w:rPr>
                <w:sz w:val="24"/>
              </w:rPr>
            </w:pPr>
            <w:r>
              <w:rPr>
                <w:sz w:val="24"/>
              </w:rPr>
              <w:t>Tupper</w:t>
            </w:r>
          </w:p>
        </w:tc>
        <w:tc>
          <w:tcPr>
            <w:tcW w:w="1080" w:type="dxa"/>
          </w:tcPr>
          <w:p>
            <w:pPr>
              <w:pStyle w:val="TableParagraph"/>
              <w:spacing w:line="271" w:lineRule="exact"/>
              <w:ind w:left="107"/>
              <w:rPr>
                <w:sz w:val="24"/>
              </w:rPr>
            </w:pPr>
            <w:r>
              <w:rPr>
                <w:sz w:val="24"/>
              </w:rPr>
              <w:t>351202</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7"/>
              <w:rPr>
                <w:sz w:val="24"/>
              </w:rPr>
            </w:pPr>
            <w:r>
              <w:rPr>
                <w:sz w:val="24"/>
              </w:rPr>
              <w:t>45.0667</w:t>
            </w:r>
          </w:p>
        </w:tc>
        <w:tc>
          <w:tcPr>
            <w:tcW w:w="1260" w:type="dxa"/>
          </w:tcPr>
          <w:p>
            <w:pPr>
              <w:pStyle w:val="TableParagraph"/>
              <w:spacing w:line="271" w:lineRule="exact"/>
              <w:ind w:left="107"/>
              <w:rPr>
                <w:sz w:val="24"/>
              </w:rPr>
            </w:pPr>
            <w:r>
              <w:rPr>
                <w:sz w:val="24"/>
              </w:rPr>
              <w:t>119.4925</w:t>
            </w:r>
          </w:p>
        </w:tc>
        <w:tc>
          <w:tcPr>
            <w:tcW w:w="888" w:type="dxa"/>
          </w:tcPr>
          <w:p>
            <w:pPr>
              <w:pStyle w:val="TableParagraph"/>
              <w:spacing w:line="271" w:lineRule="exact"/>
              <w:ind w:left="191" w:right="112"/>
              <w:jc w:val="center"/>
              <w:rPr>
                <w:sz w:val="24"/>
              </w:rPr>
            </w:pPr>
            <w:r>
              <w:rPr>
                <w:sz w:val="24"/>
              </w:rPr>
              <w:t>4200</w:t>
            </w:r>
          </w:p>
        </w:tc>
        <w:tc>
          <w:tcPr>
            <w:tcW w:w="1452" w:type="dxa"/>
          </w:tcPr>
          <w:p>
            <w:pPr>
              <w:pStyle w:val="TableParagraph"/>
              <w:spacing w:line="271" w:lineRule="exact"/>
              <w:ind w:left="107"/>
              <w:rPr>
                <w:sz w:val="24"/>
              </w:rPr>
            </w:pPr>
            <w:r>
              <w:rPr>
                <w:sz w:val="24"/>
              </w:rPr>
              <w:t>Lwr slope-S</w:t>
            </w:r>
          </w:p>
        </w:tc>
      </w:tr>
      <w:tr>
        <w:trPr>
          <w:trHeight w:val="551" w:hRule="atLeast"/>
        </w:trPr>
        <w:tc>
          <w:tcPr>
            <w:tcW w:w="1080" w:type="dxa"/>
          </w:tcPr>
          <w:p>
            <w:pPr>
              <w:pStyle w:val="TableParagraph"/>
              <w:spacing w:line="271" w:lineRule="exact"/>
              <w:ind w:left="107"/>
              <w:rPr>
                <w:sz w:val="24"/>
              </w:rPr>
            </w:pPr>
            <w:r>
              <w:rPr>
                <w:sz w:val="24"/>
              </w:rPr>
              <w:t>OR644</w:t>
            </w:r>
          </w:p>
        </w:tc>
        <w:tc>
          <w:tcPr>
            <w:tcW w:w="1800" w:type="dxa"/>
          </w:tcPr>
          <w:p>
            <w:pPr>
              <w:pStyle w:val="TableParagraph"/>
              <w:spacing w:line="271" w:lineRule="exact"/>
              <w:ind w:left="107"/>
              <w:rPr>
                <w:sz w:val="24"/>
              </w:rPr>
            </w:pPr>
            <w:r>
              <w:rPr>
                <w:sz w:val="24"/>
              </w:rPr>
              <w:t>Board Creek</w:t>
            </w:r>
          </w:p>
        </w:tc>
        <w:tc>
          <w:tcPr>
            <w:tcW w:w="1080" w:type="dxa"/>
          </w:tcPr>
          <w:p>
            <w:pPr>
              <w:pStyle w:val="TableParagraph"/>
              <w:spacing w:line="271" w:lineRule="exact"/>
              <w:ind w:left="107"/>
              <w:rPr>
                <w:sz w:val="24"/>
              </w:rPr>
            </w:pPr>
            <w:r>
              <w:rPr>
                <w:sz w:val="24"/>
              </w:rPr>
              <w:t>352330</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BLM</w:t>
            </w:r>
          </w:p>
        </w:tc>
        <w:tc>
          <w:tcPr>
            <w:tcW w:w="1183" w:type="dxa"/>
          </w:tcPr>
          <w:p>
            <w:pPr>
              <w:pStyle w:val="TableParagraph"/>
              <w:spacing w:line="271" w:lineRule="exact"/>
              <w:ind w:left="107"/>
              <w:rPr>
                <w:sz w:val="24"/>
              </w:rPr>
            </w:pPr>
            <w:r>
              <w:rPr>
                <w:sz w:val="24"/>
              </w:rPr>
              <w:t>44.5930</w:t>
            </w:r>
          </w:p>
        </w:tc>
        <w:tc>
          <w:tcPr>
            <w:tcW w:w="1260" w:type="dxa"/>
          </w:tcPr>
          <w:p>
            <w:pPr>
              <w:pStyle w:val="TableParagraph"/>
              <w:spacing w:line="271" w:lineRule="exact"/>
              <w:ind w:left="107"/>
              <w:rPr>
                <w:sz w:val="24"/>
              </w:rPr>
            </w:pPr>
            <w:r>
              <w:rPr>
                <w:sz w:val="24"/>
              </w:rPr>
              <w:t>119.2770</w:t>
            </w:r>
          </w:p>
        </w:tc>
        <w:tc>
          <w:tcPr>
            <w:tcW w:w="888" w:type="dxa"/>
          </w:tcPr>
          <w:p>
            <w:pPr>
              <w:pStyle w:val="TableParagraph"/>
              <w:spacing w:line="271" w:lineRule="exact"/>
              <w:ind w:left="191" w:right="112"/>
              <w:jc w:val="center"/>
              <w:rPr>
                <w:sz w:val="24"/>
              </w:rPr>
            </w:pPr>
            <w:r>
              <w:rPr>
                <w:sz w:val="24"/>
              </w:rPr>
              <w:t>5000</w:t>
            </w:r>
          </w:p>
        </w:tc>
        <w:tc>
          <w:tcPr>
            <w:tcW w:w="1452" w:type="dxa"/>
          </w:tcPr>
          <w:p>
            <w:pPr>
              <w:pStyle w:val="TableParagraph"/>
              <w:spacing w:line="271" w:lineRule="exact"/>
              <w:ind w:left="107"/>
              <w:rPr>
                <w:sz w:val="24"/>
              </w:rPr>
            </w:pPr>
            <w:r>
              <w:rPr>
                <w:sz w:val="24"/>
              </w:rPr>
              <w:t>Ridge</w:t>
            </w:r>
          </w:p>
        </w:tc>
      </w:tr>
      <w:tr>
        <w:trPr>
          <w:trHeight w:val="551" w:hRule="atLeast"/>
        </w:trPr>
        <w:tc>
          <w:tcPr>
            <w:tcW w:w="1080" w:type="dxa"/>
          </w:tcPr>
          <w:p>
            <w:pPr>
              <w:pStyle w:val="TableParagraph"/>
              <w:spacing w:line="271" w:lineRule="exact"/>
              <w:ind w:left="107"/>
              <w:rPr>
                <w:sz w:val="24"/>
              </w:rPr>
            </w:pPr>
            <w:r>
              <w:rPr>
                <w:sz w:val="24"/>
              </w:rPr>
              <w:t>OR644</w:t>
            </w:r>
          </w:p>
        </w:tc>
        <w:tc>
          <w:tcPr>
            <w:tcW w:w="1800" w:type="dxa"/>
          </w:tcPr>
          <w:p>
            <w:pPr>
              <w:pStyle w:val="TableParagraph"/>
              <w:spacing w:line="271" w:lineRule="exact"/>
              <w:ind w:left="107"/>
              <w:rPr>
                <w:sz w:val="24"/>
              </w:rPr>
            </w:pPr>
            <w:r>
              <w:rPr>
                <w:sz w:val="24"/>
              </w:rPr>
              <w:t>Keeney 2</w:t>
            </w:r>
          </w:p>
        </w:tc>
        <w:tc>
          <w:tcPr>
            <w:tcW w:w="1080" w:type="dxa"/>
          </w:tcPr>
          <w:p>
            <w:pPr>
              <w:pStyle w:val="TableParagraph"/>
              <w:spacing w:line="271" w:lineRule="exact"/>
              <w:ind w:left="107"/>
              <w:rPr>
                <w:sz w:val="24"/>
              </w:rPr>
            </w:pPr>
            <w:r>
              <w:rPr>
                <w:sz w:val="24"/>
              </w:rPr>
              <w:t>352332</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7"/>
              <w:rPr>
                <w:sz w:val="24"/>
              </w:rPr>
            </w:pPr>
            <w:r>
              <w:rPr>
                <w:sz w:val="24"/>
              </w:rPr>
              <w:t>44.6661</w:t>
            </w:r>
          </w:p>
        </w:tc>
        <w:tc>
          <w:tcPr>
            <w:tcW w:w="1260" w:type="dxa"/>
          </w:tcPr>
          <w:p>
            <w:pPr>
              <w:pStyle w:val="TableParagraph"/>
              <w:spacing w:line="271" w:lineRule="exact"/>
              <w:ind w:left="107"/>
              <w:rPr>
                <w:sz w:val="24"/>
              </w:rPr>
            </w:pPr>
            <w:r>
              <w:rPr>
                <w:sz w:val="24"/>
              </w:rPr>
              <w:t>118.9219</w:t>
            </w:r>
          </w:p>
        </w:tc>
        <w:tc>
          <w:tcPr>
            <w:tcW w:w="888" w:type="dxa"/>
          </w:tcPr>
          <w:p>
            <w:pPr>
              <w:pStyle w:val="TableParagraph"/>
              <w:spacing w:line="271" w:lineRule="exact"/>
              <w:ind w:left="191" w:right="112"/>
              <w:jc w:val="center"/>
              <w:rPr>
                <w:sz w:val="24"/>
              </w:rPr>
            </w:pPr>
            <w:r>
              <w:rPr>
                <w:sz w:val="24"/>
              </w:rPr>
              <w:t>5120</w:t>
            </w:r>
          </w:p>
        </w:tc>
        <w:tc>
          <w:tcPr>
            <w:tcW w:w="1452" w:type="dxa"/>
          </w:tcPr>
          <w:p>
            <w:pPr>
              <w:pStyle w:val="TableParagraph"/>
              <w:spacing w:line="271" w:lineRule="exact"/>
              <w:ind w:left="107"/>
              <w:rPr>
                <w:sz w:val="24"/>
              </w:rPr>
            </w:pPr>
            <w:r>
              <w:rPr>
                <w:sz w:val="24"/>
              </w:rPr>
              <w:t>Ridge</w:t>
            </w:r>
          </w:p>
        </w:tc>
      </w:tr>
      <w:tr>
        <w:trPr>
          <w:trHeight w:val="553" w:hRule="atLeast"/>
        </w:trPr>
        <w:tc>
          <w:tcPr>
            <w:tcW w:w="1080" w:type="dxa"/>
          </w:tcPr>
          <w:p>
            <w:pPr>
              <w:pStyle w:val="TableParagraph"/>
              <w:spacing w:line="274" w:lineRule="exact"/>
              <w:ind w:left="107"/>
              <w:rPr>
                <w:sz w:val="24"/>
              </w:rPr>
            </w:pPr>
            <w:r>
              <w:rPr>
                <w:sz w:val="24"/>
              </w:rPr>
              <w:t>OR644</w:t>
            </w:r>
          </w:p>
        </w:tc>
        <w:tc>
          <w:tcPr>
            <w:tcW w:w="1800" w:type="dxa"/>
          </w:tcPr>
          <w:p>
            <w:pPr>
              <w:pStyle w:val="TableParagraph"/>
              <w:spacing w:line="274" w:lineRule="exact"/>
              <w:ind w:left="107"/>
              <w:rPr>
                <w:sz w:val="24"/>
              </w:rPr>
            </w:pPr>
            <w:r>
              <w:rPr>
                <w:sz w:val="24"/>
              </w:rPr>
              <w:t>J Ridge</w:t>
            </w:r>
          </w:p>
        </w:tc>
        <w:tc>
          <w:tcPr>
            <w:tcW w:w="1080" w:type="dxa"/>
          </w:tcPr>
          <w:p>
            <w:pPr>
              <w:pStyle w:val="TableParagraph"/>
              <w:spacing w:line="274" w:lineRule="exact"/>
              <w:ind w:left="107"/>
              <w:rPr>
                <w:sz w:val="24"/>
              </w:rPr>
            </w:pPr>
            <w:r>
              <w:rPr>
                <w:sz w:val="24"/>
              </w:rPr>
              <w:t>351414</w:t>
            </w:r>
          </w:p>
        </w:tc>
        <w:tc>
          <w:tcPr>
            <w:tcW w:w="1080" w:type="dxa"/>
          </w:tcPr>
          <w:p>
            <w:pPr>
              <w:pStyle w:val="TableParagraph"/>
              <w:spacing w:line="274" w:lineRule="exact"/>
              <w:ind w:left="107"/>
              <w:rPr>
                <w:sz w:val="24"/>
              </w:rPr>
            </w:pPr>
            <w:r>
              <w:rPr>
                <w:sz w:val="24"/>
              </w:rPr>
              <w:t>RAWS</w:t>
            </w:r>
          </w:p>
        </w:tc>
        <w:tc>
          <w:tcPr>
            <w:tcW w:w="977" w:type="dxa"/>
          </w:tcPr>
          <w:p>
            <w:pPr>
              <w:pStyle w:val="TableParagraph"/>
              <w:spacing w:line="274" w:lineRule="exact"/>
              <w:ind w:left="107"/>
              <w:rPr>
                <w:sz w:val="24"/>
              </w:rPr>
            </w:pPr>
            <w:r>
              <w:rPr>
                <w:sz w:val="24"/>
              </w:rPr>
              <w:t>USFS</w:t>
            </w:r>
          </w:p>
        </w:tc>
        <w:tc>
          <w:tcPr>
            <w:tcW w:w="1183" w:type="dxa"/>
          </w:tcPr>
          <w:p>
            <w:pPr>
              <w:pStyle w:val="TableParagraph"/>
              <w:spacing w:line="274" w:lineRule="exact"/>
              <w:ind w:left="107"/>
              <w:rPr>
                <w:sz w:val="24"/>
              </w:rPr>
            </w:pPr>
            <w:r>
              <w:rPr>
                <w:sz w:val="24"/>
              </w:rPr>
              <w:t>45.1135</w:t>
            </w:r>
          </w:p>
        </w:tc>
        <w:tc>
          <w:tcPr>
            <w:tcW w:w="1260" w:type="dxa"/>
          </w:tcPr>
          <w:p>
            <w:pPr>
              <w:pStyle w:val="TableParagraph"/>
              <w:spacing w:line="274" w:lineRule="exact"/>
              <w:ind w:left="107"/>
              <w:rPr>
                <w:sz w:val="24"/>
              </w:rPr>
            </w:pPr>
            <w:r>
              <w:rPr>
                <w:sz w:val="24"/>
              </w:rPr>
              <w:t>118.4051</w:t>
            </w:r>
          </w:p>
        </w:tc>
        <w:tc>
          <w:tcPr>
            <w:tcW w:w="888" w:type="dxa"/>
          </w:tcPr>
          <w:p>
            <w:pPr>
              <w:pStyle w:val="TableParagraph"/>
              <w:spacing w:line="274" w:lineRule="exact"/>
              <w:ind w:left="191" w:right="112"/>
              <w:jc w:val="center"/>
              <w:rPr>
                <w:sz w:val="24"/>
              </w:rPr>
            </w:pPr>
            <w:r>
              <w:rPr>
                <w:sz w:val="24"/>
              </w:rPr>
              <w:t>5180</w:t>
            </w:r>
          </w:p>
        </w:tc>
        <w:tc>
          <w:tcPr>
            <w:tcW w:w="1452" w:type="dxa"/>
          </w:tcPr>
          <w:p>
            <w:pPr>
              <w:pStyle w:val="TableParagraph"/>
              <w:spacing w:line="274" w:lineRule="exact" w:before="3"/>
              <w:ind w:left="107" w:right="676"/>
              <w:rPr>
                <w:sz w:val="24"/>
              </w:rPr>
            </w:pPr>
            <w:r>
              <w:rPr>
                <w:sz w:val="24"/>
              </w:rPr>
              <w:t>Upr slope-</w:t>
            </w:r>
          </w:p>
        </w:tc>
      </w:tr>
      <w:tr>
        <w:trPr>
          <w:trHeight w:val="551" w:hRule="atLeast"/>
        </w:trPr>
        <w:tc>
          <w:tcPr>
            <w:tcW w:w="1080" w:type="dxa"/>
          </w:tcPr>
          <w:p>
            <w:pPr>
              <w:pStyle w:val="TableParagraph"/>
              <w:spacing w:line="271" w:lineRule="exact"/>
              <w:ind w:left="107"/>
              <w:rPr>
                <w:sz w:val="24"/>
              </w:rPr>
            </w:pPr>
            <w:r>
              <w:rPr>
                <w:sz w:val="24"/>
              </w:rPr>
              <w:t>OR644</w:t>
            </w:r>
          </w:p>
        </w:tc>
        <w:tc>
          <w:tcPr>
            <w:tcW w:w="1800" w:type="dxa"/>
          </w:tcPr>
          <w:p>
            <w:pPr>
              <w:pStyle w:val="TableParagraph"/>
              <w:spacing w:line="271" w:lineRule="exact"/>
              <w:ind w:left="107"/>
              <w:rPr>
                <w:sz w:val="24"/>
              </w:rPr>
            </w:pPr>
            <w:r>
              <w:rPr>
                <w:sz w:val="24"/>
              </w:rPr>
              <w:t>Elk Creek</w:t>
            </w:r>
          </w:p>
        </w:tc>
        <w:tc>
          <w:tcPr>
            <w:tcW w:w="1080" w:type="dxa"/>
          </w:tcPr>
          <w:p>
            <w:pPr>
              <w:pStyle w:val="TableParagraph"/>
              <w:spacing w:line="271" w:lineRule="exact"/>
              <w:ind w:left="107"/>
              <w:rPr>
                <w:sz w:val="24"/>
              </w:rPr>
            </w:pPr>
            <w:r>
              <w:rPr>
                <w:sz w:val="24"/>
              </w:rPr>
              <w:t>352126</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7"/>
              <w:rPr>
                <w:sz w:val="24"/>
              </w:rPr>
            </w:pPr>
            <w:r>
              <w:rPr>
                <w:sz w:val="24"/>
              </w:rPr>
              <w:t>44.7577</w:t>
            </w:r>
          </w:p>
        </w:tc>
        <w:tc>
          <w:tcPr>
            <w:tcW w:w="1260" w:type="dxa"/>
          </w:tcPr>
          <w:p>
            <w:pPr>
              <w:pStyle w:val="TableParagraph"/>
              <w:spacing w:line="271" w:lineRule="exact"/>
              <w:ind w:left="107"/>
              <w:rPr>
                <w:sz w:val="24"/>
              </w:rPr>
            </w:pPr>
            <w:r>
              <w:rPr>
                <w:sz w:val="24"/>
              </w:rPr>
              <w:t>117.9711</w:t>
            </w:r>
          </w:p>
        </w:tc>
        <w:tc>
          <w:tcPr>
            <w:tcW w:w="888" w:type="dxa"/>
          </w:tcPr>
          <w:p>
            <w:pPr>
              <w:pStyle w:val="TableParagraph"/>
              <w:spacing w:line="271" w:lineRule="exact"/>
              <w:ind w:left="191" w:right="112"/>
              <w:jc w:val="center"/>
              <w:rPr>
                <w:sz w:val="24"/>
              </w:rPr>
            </w:pPr>
            <w:r>
              <w:rPr>
                <w:sz w:val="24"/>
              </w:rPr>
              <w:t>6576</w:t>
            </w:r>
          </w:p>
        </w:tc>
        <w:tc>
          <w:tcPr>
            <w:tcW w:w="1452" w:type="dxa"/>
          </w:tcPr>
          <w:p>
            <w:pPr>
              <w:pStyle w:val="TableParagraph"/>
              <w:spacing w:line="271" w:lineRule="exact"/>
              <w:ind w:left="107"/>
              <w:rPr>
                <w:sz w:val="24"/>
              </w:rPr>
            </w:pPr>
            <w:r>
              <w:rPr>
                <w:sz w:val="24"/>
              </w:rPr>
              <w:t>Upr Slope</w:t>
            </w:r>
          </w:p>
        </w:tc>
      </w:tr>
      <w:tr>
        <w:trPr>
          <w:trHeight w:val="275" w:hRule="atLeast"/>
        </w:trPr>
        <w:tc>
          <w:tcPr>
            <w:tcW w:w="1080" w:type="dxa"/>
          </w:tcPr>
          <w:p>
            <w:pPr>
              <w:pStyle w:val="TableParagraph"/>
              <w:rPr>
                <w:rFonts w:ascii="Times New Roman"/>
                <w:sz w:val="20"/>
              </w:rPr>
            </w:pPr>
          </w:p>
        </w:tc>
        <w:tc>
          <w:tcPr>
            <w:tcW w:w="1800" w:type="dxa"/>
          </w:tcPr>
          <w:p>
            <w:pPr>
              <w:pStyle w:val="TableParagraph"/>
              <w:rPr>
                <w:rFonts w:ascii="Times New Roman"/>
                <w:sz w:val="20"/>
              </w:rPr>
            </w:pPr>
          </w:p>
        </w:tc>
        <w:tc>
          <w:tcPr>
            <w:tcW w:w="1080" w:type="dxa"/>
          </w:tcPr>
          <w:p>
            <w:pPr>
              <w:pStyle w:val="TableParagraph"/>
              <w:rPr>
                <w:rFonts w:ascii="Times New Roman"/>
                <w:sz w:val="20"/>
              </w:rPr>
            </w:pPr>
          </w:p>
        </w:tc>
        <w:tc>
          <w:tcPr>
            <w:tcW w:w="1080" w:type="dxa"/>
          </w:tcPr>
          <w:p>
            <w:pPr>
              <w:pStyle w:val="TableParagraph"/>
              <w:rPr>
                <w:rFonts w:ascii="Times New Roman"/>
                <w:sz w:val="20"/>
              </w:rPr>
            </w:pPr>
          </w:p>
        </w:tc>
        <w:tc>
          <w:tcPr>
            <w:tcW w:w="977" w:type="dxa"/>
          </w:tcPr>
          <w:p>
            <w:pPr>
              <w:pStyle w:val="TableParagraph"/>
              <w:rPr>
                <w:rFonts w:ascii="Times New Roman"/>
                <w:sz w:val="20"/>
              </w:rPr>
            </w:pPr>
          </w:p>
        </w:tc>
        <w:tc>
          <w:tcPr>
            <w:tcW w:w="1183" w:type="dxa"/>
          </w:tcPr>
          <w:p>
            <w:pPr>
              <w:pStyle w:val="TableParagraph"/>
              <w:rPr>
                <w:rFonts w:ascii="Times New Roman"/>
                <w:sz w:val="20"/>
              </w:rPr>
            </w:pPr>
          </w:p>
        </w:tc>
        <w:tc>
          <w:tcPr>
            <w:tcW w:w="1260" w:type="dxa"/>
          </w:tcPr>
          <w:p>
            <w:pPr>
              <w:pStyle w:val="TableParagraph"/>
              <w:rPr>
                <w:rFonts w:ascii="Times New Roman"/>
                <w:sz w:val="20"/>
              </w:rPr>
            </w:pPr>
          </w:p>
        </w:tc>
        <w:tc>
          <w:tcPr>
            <w:tcW w:w="888" w:type="dxa"/>
          </w:tcPr>
          <w:p>
            <w:pPr>
              <w:pStyle w:val="TableParagraph"/>
              <w:rPr>
                <w:rFonts w:ascii="Times New Roman"/>
                <w:sz w:val="20"/>
              </w:rPr>
            </w:pPr>
          </w:p>
        </w:tc>
        <w:tc>
          <w:tcPr>
            <w:tcW w:w="1452" w:type="dxa"/>
          </w:tcPr>
          <w:p>
            <w:pPr>
              <w:pStyle w:val="TableParagraph"/>
              <w:rPr>
                <w:rFonts w:ascii="Times New Roman"/>
                <w:sz w:val="20"/>
              </w:rPr>
            </w:pPr>
          </w:p>
        </w:tc>
      </w:tr>
      <w:tr>
        <w:trPr>
          <w:trHeight w:val="553" w:hRule="atLeast"/>
        </w:trPr>
        <w:tc>
          <w:tcPr>
            <w:tcW w:w="1080" w:type="dxa"/>
          </w:tcPr>
          <w:p>
            <w:pPr>
              <w:pStyle w:val="TableParagraph"/>
              <w:spacing w:line="271" w:lineRule="exact"/>
              <w:ind w:left="107"/>
              <w:rPr>
                <w:sz w:val="24"/>
              </w:rPr>
            </w:pPr>
            <w:r>
              <w:rPr>
                <w:sz w:val="24"/>
              </w:rPr>
              <w:t>OR645</w:t>
            </w:r>
          </w:p>
        </w:tc>
        <w:tc>
          <w:tcPr>
            <w:tcW w:w="1800" w:type="dxa"/>
          </w:tcPr>
          <w:p>
            <w:pPr>
              <w:pStyle w:val="TableParagraph"/>
              <w:spacing w:line="271" w:lineRule="exact"/>
              <w:ind w:left="107"/>
              <w:rPr>
                <w:sz w:val="24"/>
              </w:rPr>
            </w:pPr>
            <w:r>
              <w:rPr>
                <w:sz w:val="24"/>
              </w:rPr>
              <w:t>Point Prom 2</w:t>
            </w:r>
          </w:p>
        </w:tc>
        <w:tc>
          <w:tcPr>
            <w:tcW w:w="1080" w:type="dxa"/>
          </w:tcPr>
          <w:p>
            <w:pPr>
              <w:pStyle w:val="TableParagraph"/>
              <w:spacing w:line="271" w:lineRule="exact"/>
              <w:ind w:left="107"/>
              <w:rPr>
                <w:sz w:val="24"/>
              </w:rPr>
            </w:pPr>
            <w:r>
              <w:rPr>
                <w:sz w:val="24"/>
              </w:rPr>
              <w:t>351419</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7"/>
              <w:rPr>
                <w:sz w:val="24"/>
              </w:rPr>
            </w:pPr>
            <w:r>
              <w:rPr>
                <w:sz w:val="24"/>
              </w:rPr>
              <w:t>45.3547</w:t>
            </w:r>
          </w:p>
        </w:tc>
        <w:tc>
          <w:tcPr>
            <w:tcW w:w="1260" w:type="dxa"/>
          </w:tcPr>
          <w:p>
            <w:pPr>
              <w:pStyle w:val="TableParagraph"/>
              <w:spacing w:line="271" w:lineRule="exact"/>
              <w:ind w:left="107"/>
              <w:rPr>
                <w:sz w:val="24"/>
              </w:rPr>
            </w:pPr>
            <w:r>
              <w:rPr>
                <w:sz w:val="24"/>
              </w:rPr>
              <w:t>117.7044</w:t>
            </w:r>
          </w:p>
        </w:tc>
        <w:tc>
          <w:tcPr>
            <w:tcW w:w="888" w:type="dxa"/>
          </w:tcPr>
          <w:p>
            <w:pPr>
              <w:pStyle w:val="TableParagraph"/>
              <w:spacing w:line="271" w:lineRule="exact"/>
              <w:ind w:left="191" w:right="112"/>
              <w:jc w:val="center"/>
              <w:rPr>
                <w:sz w:val="24"/>
              </w:rPr>
            </w:pPr>
            <w:r>
              <w:rPr>
                <w:sz w:val="24"/>
              </w:rPr>
              <w:t>6600</w:t>
            </w:r>
          </w:p>
        </w:tc>
        <w:tc>
          <w:tcPr>
            <w:tcW w:w="1452" w:type="dxa"/>
          </w:tcPr>
          <w:p>
            <w:pPr>
              <w:pStyle w:val="TableParagraph"/>
              <w:spacing w:line="271" w:lineRule="exact"/>
              <w:ind w:left="107"/>
              <w:rPr>
                <w:sz w:val="24"/>
              </w:rPr>
            </w:pPr>
            <w:r>
              <w:rPr>
                <w:sz w:val="24"/>
              </w:rPr>
              <w:t>N-S Ridge</w:t>
            </w:r>
          </w:p>
        </w:tc>
      </w:tr>
      <w:tr>
        <w:trPr>
          <w:trHeight w:val="551" w:hRule="atLeast"/>
        </w:trPr>
        <w:tc>
          <w:tcPr>
            <w:tcW w:w="1080" w:type="dxa"/>
          </w:tcPr>
          <w:p>
            <w:pPr>
              <w:pStyle w:val="TableParagraph"/>
              <w:spacing w:line="271" w:lineRule="exact"/>
              <w:ind w:left="107"/>
              <w:rPr>
                <w:sz w:val="24"/>
              </w:rPr>
            </w:pPr>
            <w:r>
              <w:rPr>
                <w:sz w:val="24"/>
              </w:rPr>
              <w:t>OR645</w:t>
            </w:r>
          </w:p>
        </w:tc>
        <w:tc>
          <w:tcPr>
            <w:tcW w:w="1800" w:type="dxa"/>
          </w:tcPr>
          <w:p>
            <w:pPr>
              <w:pStyle w:val="TableParagraph"/>
              <w:spacing w:line="271" w:lineRule="exact"/>
              <w:ind w:left="107"/>
              <w:rPr>
                <w:sz w:val="24"/>
              </w:rPr>
            </w:pPr>
            <w:r>
              <w:rPr>
                <w:sz w:val="24"/>
              </w:rPr>
              <w:t>Minam</w:t>
            </w:r>
          </w:p>
        </w:tc>
        <w:tc>
          <w:tcPr>
            <w:tcW w:w="1080" w:type="dxa"/>
          </w:tcPr>
          <w:p>
            <w:pPr>
              <w:pStyle w:val="TableParagraph"/>
              <w:spacing w:line="271" w:lineRule="exact"/>
              <w:ind w:left="107"/>
              <w:rPr>
                <w:sz w:val="24"/>
              </w:rPr>
            </w:pPr>
            <w:r>
              <w:rPr>
                <w:sz w:val="24"/>
              </w:rPr>
              <w:t>351416</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7"/>
              <w:rPr>
                <w:sz w:val="24"/>
              </w:rPr>
            </w:pPr>
            <w:r>
              <w:rPr>
                <w:sz w:val="24"/>
              </w:rPr>
              <w:t>45.3539</w:t>
            </w:r>
          </w:p>
        </w:tc>
        <w:tc>
          <w:tcPr>
            <w:tcW w:w="1260" w:type="dxa"/>
          </w:tcPr>
          <w:p>
            <w:pPr>
              <w:pStyle w:val="TableParagraph"/>
              <w:spacing w:line="271" w:lineRule="exact"/>
              <w:ind w:left="107"/>
              <w:rPr>
                <w:sz w:val="24"/>
              </w:rPr>
            </w:pPr>
            <w:r>
              <w:rPr>
                <w:sz w:val="24"/>
              </w:rPr>
              <w:t>117.6328</w:t>
            </w:r>
          </w:p>
        </w:tc>
        <w:tc>
          <w:tcPr>
            <w:tcW w:w="888" w:type="dxa"/>
          </w:tcPr>
          <w:p>
            <w:pPr>
              <w:pStyle w:val="TableParagraph"/>
              <w:spacing w:line="271" w:lineRule="exact"/>
              <w:ind w:left="191" w:right="112"/>
              <w:jc w:val="center"/>
              <w:rPr>
                <w:sz w:val="24"/>
              </w:rPr>
            </w:pPr>
            <w:r>
              <w:rPr>
                <w:sz w:val="24"/>
              </w:rPr>
              <w:t>3590</w:t>
            </w:r>
          </w:p>
        </w:tc>
        <w:tc>
          <w:tcPr>
            <w:tcW w:w="1452" w:type="dxa"/>
          </w:tcPr>
          <w:p>
            <w:pPr>
              <w:pStyle w:val="TableParagraph"/>
              <w:spacing w:line="271" w:lineRule="exact"/>
              <w:ind w:left="107"/>
              <w:rPr>
                <w:sz w:val="24"/>
              </w:rPr>
            </w:pPr>
            <w:r>
              <w:rPr>
                <w:sz w:val="24"/>
              </w:rPr>
              <w:t>SE-NW Vly</w:t>
            </w:r>
          </w:p>
        </w:tc>
      </w:tr>
    </w:tbl>
    <w:p>
      <w:pPr>
        <w:spacing w:after="0" w:line="271" w:lineRule="exact"/>
        <w:rPr>
          <w:sz w:val="24"/>
        </w:rPr>
        <w:sectPr>
          <w:pgSz w:w="12240" w:h="15840"/>
          <w:pgMar w:header="0" w:footer="968" w:top="1440" w:bottom="1160" w:left="340" w:right="620"/>
        </w:sect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1800"/>
        <w:gridCol w:w="1080"/>
        <w:gridCol w:w="1080"/>
        <w:gridCol w:w="977"/>
        <w:gridCol w:w="1183"/>
        <w:gridCol w:w="1260"/>
        <w:gridCol w:w="888"/>
        <w:gridCol w:w="1452"/>
      </w:tblGrid>
      <w:tr>
        <w:trPr>
          <w:trHeight w:val="551" w:hRule="atLeast"/>
        </w:trPr>
        <w:tc>
          <w:tcPr>
            <w:tcW w:w="1080" w:type="dxa"/>
          </w:tcPr>
          <w:p>
            <w:pPr>
              <w:pStyle w:val="TableParagraph"/>
              <w:spacing w:line="271" w:lineRule="exact"/>
              <w:ind w:left="107"/>
              <w:rPr>
                <w:sz w:val="24"/>
              </w:rPr>
            </w:pPr>
            <w:r>
              <w:rPr>
                <w:sz w:val="24"/>
              </w:rPr>
              <w:t>OR645</w:t>
            </w:r>
          </w:p>
        </w:tc>
        <w:tc>
          <w:tcPr>
            <w:tcW w:w="1800" w:type="dxa"/>
          </w:tcPr>
          <w:p>
            <w:pPr>
              <w:pStyle w:val="TableParagraph"/>
              <w:spacing w:line="271" w:lineRule="exact"/>
              <w:ind w:left="107"/>
              <w:rPr>
                <w:sz w:val="24"/>
              </w:rPr>
            </w:pPr>
            <w:r>
              <w:rPr>
                <w:sz w:val="24"/>
              </w:rPr>
              <w:t>Roberts Butte</w:t>
            </w:r>
          </w:p>
        </w:tc>
        <w:tc>
          <w:tcPr>
            <w:tcW w:w="1080" w:type="dxa"/>
          </w:tcPr>
          <w:p>
            <w:pPr>
              <w:pStyle w:val="TableParagraph"/>
              <w:spacing w:line="271" w:lineRule="exact"/>
              <w:ind w:left="107"/>
              <w:rPr>
                <w:sz w:val="24"/>
              </w:rPr>
            </w:pPr>
            <w:r>
              <w:rPr>
                <w:sz w:val="24"/>
              </w:rPr>
              <w:t>351520</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7"/>
              <w:rPr>
                <w:sz w:val="24"/>
              </w:rPr>
            </w:pPr>
            <w:r>
              <w:rPr>
                <w:sz w:val="24"/>
              </w:rPr>
              <w:t>45.681</w:t>
            </w:r>
          </w:p>
        </w:tc>
        <w:tc>
          <w:tcPr>
            <w:tcW w:w="1260" w:type="dxa"/>
          </w:tcPr>
          <w:p>
            <w:pPr>
              <w:pStyle w:val="TableParagraph"/>
              <w:spacing w:line="271" w:lineRule="exact"/>
              <w:ind w:left="107"/>
              <w:rPr>
                <w:sz w:val="24"/>
              </w:rPr>
            </w:pPr>
            <w:r>
              <w:rPr>
                <w:sz w:val="24"/>
              </w:rPr>
              <w:t>117.2067</w:t>
            </w:r>
          </w:p>
        </w:tc>
        <w:tc>
          <w:tcPr>
            <w:tcW w:w="888" w:type="dxa"/>
          </w:tcPr>
          <w:p>
            <w:pPr>
              <w:pStyle w:val="TableParagraph"/>
              <w:spacing w:line="271" w:lineRule="exact"/>
              <w:ind w:left="211"/>
              <w:rPr>
                <w:sz w:val="24"/>
              </w:rPr>
            </w:pPr>
            <w:r>
              <w:rPr>
                <w:sz w:val="24"/>
              </w:rPr>
              <w:t>4300</w:t>
            </w:r>
          </w:p>
        </w:tc>
        <w:tc>
          <w:tcPr>
            <w:tcW w:w="1452" w:type="dxa"/>
          </w:tcPr>
          <w:p>
            <w:pPr>
              <w:pStyle w:val="TableParagraph"/>
              <w:spacing w:line="271" w:lineRule="exact"/>
              <w:ind w:left="107"/>
              <w:rPr>
                <w:sz w:val="24"/>
              </w:rPr>
            </w:pPr>
            <w:r>
              <w:rPr>
                <w:sz w:val="24"/>
              </w:rPr>
              <w:t>N-S Ridge</w:t>
            </w:r>
          </w:p>
        </w:tc>
      </w:tr>
      <w:tr>
        <w:trPr>
          <w:trHeight w:val="551" w:hRule="atLeast"/>
        </w:trPr>
        <w:tc>
          <w:tcPr>
            <w:tcW w:w="1080" w:type="dxa"/>
          </w:tcPr>
          <w:p>
            <w:pPr>
              <w:pStyle w:val="TableParagraph"/>
              <w:spacing w:line="271" w:lineRule="exact"/>
              <w:ind w:left="107"/>
              <w:rPr>
                <w:sz w:val="24"/>
              </w:rPr>
            </w:pPr>
            <w:r>
              <w:rPr>
                <w:sz w:val="24"/>
              </w:rPr>
              <w:t>OR645</w:t>
            </w:r>
          </w:p>
        </w:tc>
        <w:tc>
          <w:tcPr>
            <w:tcW w:w="1800" w:type="dxa"/>
          </w:tcPr>
          <w:p>
            <w:pPr>
              <w:pStyle w:val="TableParagraph"/>
              <w:spacing w:line="271" w:lineRule="exact"/>
              <w:ind w:left="107"/>
              <w:rPr>
                <w:sz w:val="24"/>
              </w:rPr>
            </w:pPr>
            <w:r>
              <w:rPr>
                <w:sz w:val="24"/>
              </w:rPr>
              <w:t>Harl Butte</w:t>
            </w:r>
          </w:p>
        </w:tc>
        <w:tc>
          <w:tcPr>
            <w:tcW w:w="1080" w:type="dxa"/>
          </w:tcPr>
          <w:p>
            <w:pPr>
              <w:pStyle w:val="TableParagraph"/>
              <w:spacing w:line="271" w:lineRule="exact"/>
              <w:ind w:left="107"/>
              <w:rPr>
                <w:sz w:val="24"/>
              </w:rPr>
            </w:pPr>
            <w:r>
              <w:rPr>
                <w:sz w:val="24"/>
              </w:rPr>
              <w:t>351502</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USFS</w:t>
            </w:r>
          </w:p>
        </w:tc>
        <w:tc>
          <w:tcPr>
            <w:tcW w:w="1183" w:type="dxa"/>
          </w:tcPr>
          <w:p>
            <w:pPr>
              <w:pStyle w:val="TableParagraph"/>
              <w:spacing w:line="271" w:lineRule="exact"/>
              <w:ind w:left="107"/>
              <w:rPr>
                <w:sz w:val="24"/>
              </w:rPr>
            </w:pPr>
            <w:r>
              <w:rPr>
                <w:sz w:val="24"/>
              </w:rPr>
              <w:t>45.3282</w:t>
            </w:r>
          </w:p>
        </w:tc>
        <w:tc>
          <w:tcPr>
            <w:tcW w:w="1260" w:type="dxa"/>
          </w:tcPr>
          <w:p>
            <w:pPr>
              <w:pStyle w:val="TableParagraph"/>
              <w:spacing w:line="271" w:lineRule="exact"/>
              <w:ind w:left="107"/>
              <w:rPr>
                <w:sz w:val="24"/>
              </w:rPr>
            </w:pPr>
            <w:r>
              <w:rPr>
                <w:sz w:val="24"/>
              </w:rPr>
              <w:t>116.8774</w:t>
            </w:r>
          </w:p>
        </w:tc>
        <w:tc>
          <w:tcPr>
            <w:tcW w:w="888" w:type="dxa"/>
          </w:tcPr>
          <w:p>
            <w:pPr>
              <w:pStyle w:val="TableParagraph"/>
              <w:spacing w:line="271" w:lineRule="exact"/>
              <w:ind w:left="211"/>
              <w:rPr>
                <w:sz w:val="24"/>
              </w:rPr>
            </w:pPr>
            <w:r>
              <w:rPr>
                <w:sz w:val="24"/>
              </w:rPr>
              <w:t>6071</w:t>
            </w:r>
          </w:p>
        </w:tc>
        <w:tc>
          <w:tcPr>
            <w:tcW w:w="1452" w:type="dxa"/>
          </w:tcPr>
          <w:p>
            <w:pPr>
              <w:pStyle w:val="TableParagraph"/>
              <w:spacing w:line="271" w:lineRule="exact"/>
              <w:ind w:left="107"/>
              <w:rPr>
                <w:sz w:val="24"/>
              </w:rPr>
            </w:pPr>
            <w:r>
              <w:rPr>
                <w:sz w:val="24"/>
              </w:rPr>
              <w:t>Butte top-S</w:t>
            </w:r>
          </w:p>
        </w:tc>
      </w:tr>
      <w:tr>
        <w:trPr>
          <w:trHeight w:val="553" w:hRule="atLeast"/>
        </w:trPr>
        <w:tc>
          <w:tcPr>
            <w:tcW w:w="1080" w:type="dxa"/>
          </w:tcPr>
          <w:p>
            <w:pPr>
              <w:pStyle w:val="TableParagraph"/>
              <w:spacing w:line="274" w:lineRule="exact"/>
              <w:ind w:left="107"/>
              <w:rPr>
                <w:sz w:val="24"/>
              </w:rPr>
            </w:pPr>
            <w:r>
              <w:rPr>
                <w:sz w:val="24"/>
              </w:rPr>
              <w:t>OR645</w:t>
            </w:r>
          </w:p>
        </w:tc>
        <w:tc>
          <w:tcPr>
            <w:tcW w:w="1800" w:type="dxa"/>
          </w:tcPr>
          <w:p>
            <w:pPr>
              <w:pStyle w:val="TableParagraph"/>
              <w:spacing w:line="274" w:lineRule="exact"/>
              <w:ind w:left="107"/>
              <w:rPr>
                <w:sz w:val="24"/>
              </w:rPr>
            </w:pPr>
            <w:r>
              <w:rPr>
                <w:sz w:val="24"/>
              </w:rPr>
              <w:t>Sparta Butte</w:t>
            </w:r>
          </w:p>
        </w:tc>
        <w:tc>
          <w:tcPr>
            <w:tcW w:w="1080" w:type="dxa"/>
          </w:tcPr>
          <w:p>
            <w:pPr>
              <w:pStyle w:val="TableParagraph"/>
              <w:spacing w:line="274" w:lineRule="exact"/>
              <w:ind w:left="107"/>
              <w:rPr>
                <w:sz w:val="24"/>
              </w:rPr>
            </w:pPr>
            <w:r>
              <w:rPr>
                <w:sz w:val="24"/>
              </w:rPr>
              <w:t>352418</w:t>
            </w:r>
          </w:p>
        </w:tc>
        <w:tc>
          <w:tcPr>
            <w:tcW w:w="1080" w:type="dxa"/>
          </w:tcPr>
          <w:p>
            <w:pPr>
              <w:pStyle w:val="TableParagraph"/>
              <w:spacing w:line="274" w:lineRule="exact"/>
              <w:ind w:left="107"/>
              <w:rPr>
                <w:sz w:val="24"/>
              </w:rPr>
            </w:pPr>
            <w:r>
              <w:rPr>
                <w:sz w:val="24"/>
              </w:rPr>
              <w:t>RAWS</w:t>
            </w:r>
          </w:p>
        </w:tc>
        <w:tc>
          <w:tcPr>
            <w:tcW w:w="977" w:type="dxa"/>
          </w:tcPr>
          <w:p>
            <w:pPr>
              <w:pStyle w:val="TableParagraph"/>
              <w:spacing w:line="274" w:lineRule="exact"/>
              <w:ind w:left="107"/>
              <w:rPr>
                <w:sz w:val="24"/>
              </w:rPr>
            </w:pPr>
            <w:r>
              <w:rPr>
                <w:sz w:val="24"/>
              </w:rPr>
              <w:t>USFS</w:t>
            </w:r>
          </w:p>
        </w:tc>
        <w:tc>
          <w:tcPr>
            <w:tcW w:w="1183" w:type="dxa"/>
          </w:tcPr>
          <w:p>
            <w:pPr>
              <w:pStyle w:val="TableParagraph"/>
              <w:spacing w:line="274" w:lineRule="exact"/>
              <w:ind w:left="107"/>
              <w:rPr>
                <w:sz w:val="24"/>
              </w:rPr>
            </w:pPr>
            <w:r>
              <w:rPr>
                <w:sz w:val="24"/>
              </w:rPr>
              <w:t>44.8850</w:t>
            </w:r>
          </w:p>
        </w:tc>
        <w:tc>
          <w:tcPr>
            <w:tcW w:w="1260" w:type="dxa"/>
          </w:tcPr>
          <w:p>
            <w:pPr>
              <w:pStyle w:val="TableParagraph"/>
              <w:spacing w:line="274" w:lineRule="exact"/>
              <w:ind w:left="107"/>
              <w:rPr>
                <w:sz w:val="24"/>
              </w:rPr>
            </w:pPr>
            <w:r>
              <w:rPr>
                <w:sz w:val="24"/>
              </w:rPr>
              <w:t>117.3383</w:t>
            </w:r>
          </w:p>
        </w:tc>
        <w:tc>
          <w:tcPr>
            <w:tcW w:w="888" w:type="dxa"/>
          </w:tcPr>
          <w:p>
            <w:pPr>
              <w:pStyle w:val="TableParagraph"/>
              <w:spacing w:line="274" w:lineRule="exact"/>
              <w:ind w:left="211"/>
              <w:rPr>
                <w:sz w:val="24"/>
              </w:rPr>
            </w:pPr>
            <w:r>
              <w:rPr>
                <w:sz w:val="24"/>
              </w:rPr>
              <w:t>4300</w:t>
            </w:r>
          </w:p>
        </w:tc>
        <w:tc>
          <w:tcPr>
            <w:tcW w:w="1452" w:type="dxa"/>
          </w:tcPr>
          <w:p>
            <w:pPr>
              <w:pStyle w:val="TableParagraph"/>
              <w:spacing w:line="274" w:lineRule="exact" w:before="3"/>
              <w:ind w:left="107" w:right="505"/>
              <w:rPr>
                <w:sz w:val="24"/>
              </w:rPr>
            </w:pPr>
            <w:r>
              <w:rPr>
                <w:sz w:val="24"/>
              </w:rPr>
              <w:t>Midslop e- SW</w:t>
            </w:r>
          </w:p>
        </w:tc>
      </w:tr>
      <w:tr>
        <w:trPr>
          <w:trHeight w:val="277" w:hRule="atLeast"/>
        </w:trPr>
        <w:tc>
          <w:tcPr>
            <w:tcW w:w="1080" w:type="dxa"/>
          </w:tcPr>
          <w:p>
            <w:pPr>
              <w:pStyle w:val="TableParagraph"/>
              <w:rPr>
                <w:rFonts w:ascii="Times New Roman"/>
                <w:sz w:val="20"/>
              </w:rPr>
            </w:pPr>
          </w:p>
        </w:tc>
        <w:tc>
          <w:tcPr>
            <w:tcW w:w="1800" w:type="dxa"/>
          </w:tcPr>
          <w:p>
            <w:pPr>
              <w:pStyle w:val="TableParagraph"/>
              <w:rPr>
                <w:rFonts w:ascii="Times New Roman"/>
                <w:sz w:val="20"/>
              </w:rPr>
            </w:pPr>
          </w:p>
        </w:tc>
        <w:tc>
          <w:tcPr>
            <w:tcW w:w="1080" w:type="dxa"/>
          </w:tcPr>
          <w:p>
            <w:pPr>
              <w:pStyle w:val="TableParagraph"/>
              <w:rPr>
                <w:rFonts w:ascii="Times New Roman"/>
                <w:sz w:val="20"/>
              </w:rPr>
            </w:pPr>
          </w:p>
        </w:tc>
        <w:tc>
          <w:tcPr>
            <w:tcW w:w="1080" w:type="dxa"/>
          </w:tcPr>
          <w:p>
            <w:pPr>
              <w:pStyle w:val="TableParagraph"/>
              <w:rPr>
                <w:rFonts w:ascii="Times New Roman"/>
                <w:sz w:val="20"/>
              </w:rPr>
            </w:pPr>
          </w:p>
        </w:tc>
        <w:tc>
          <w:tcPr>
            <w:tcW w:w="977" w:type="dxa"/>
          </w:tcPr>
          <w:p>
            <w:pPr>
              <w:pStyle w:val="TableParagraph"/>
              <w:rPr>
                <w:rFonts w:ascii="Times New Roman"/>
                <w:sz w:val="20"/>
              </w:rPr>
            </w:pPr>
          </w:p>
        </w:tc>
        <w:tc>
          <w:tcPr>
            <w:tcW w:w="1183" w:type="dxa"/>
          </w:tcPr>
          <w:p>
            <w:pPr>
              <w:pStyle w:val="TableParagraph"/>
              <w:rPr>
                <w:rFonts w:ascii="Times New Roman"/>
                <w:sz w:val="20"/>
              </w:rPr>
            </w:pPr>
          </w:p>
        </w:tc>
        <w:tc>
          <w:tcPr>
            <w:tcW w:w="1260" w:type="dxa"/>
          </w:tcPr>
          <w:p>
            <w:pPr>
              <w:pStyle w:val="TableParagraph"/>
              <w:rPr>
                <w:rFonts w:ascii="Times New Roman"/>
                <w:sz w:val="20"/>
              </w:rPr>
            </w:pPr>
          </w:p>
        </w:tc>
        <w:tc>
          <w:tcPr>
            <w:tcW w:w="888" w:type="dxa"/>
          </w:tcPr>
          <w:p>
            <w:pPr>
              <w:pStyle w:val="TableParagraph"/>
              <w:rPr>
                <w:rFonts w:ascii="Times New Roman"/>
                <w:sz w:val="20"/>
              </w:rPr>
            </w:pPr>
          </w:p>
        </w:tc>
        <w:tc>
          <w:tcPr>
            <w:tcW w:w="1452" w:type="dxa"/>
          </w:tcPr>
          <w:p>
            <w:pPr>
              <w:pStyle w:val="TableParagraph"/>
              <w:rPr>
                <w:rFonts w:ascii="Times New Roman"/>
                <w:sz w:val="20"/>
              </w:rPr>
            </w:pPr>
          </w:p>
        </w:tc>
      </w:tr>
      <w:tr>
        <w:trPr>
          <w:trHeight w:val="551" w:hRule="atLeast"/>
        </w:trPr>
        <w:tc>
          <w:tcPr>
            <w:tcW w:w="1080" w:type="dxa"/>
          </w:tcPr>
          <w:p>
            <w:pPr>
              <w:pStyle w:val="TableParagraph"/>
              <w:spacing w:line="271" w:lineRule="exact"/>
              <w:ind w:left="107"/>
              <w:rPr>
                <w:sz w:val="24"/>
              </w:rPr>
            </w:pPr>
            <w:r>
              <w:rPr>
                <w:sz w:val="24"/>
              </w:rPr>
              <w:t>WA675</w:t>
            </w:r>
          </w:p>
        </w:tc>
        <w:tc>
          <w:tcPr>
            <w:tcW w:w="1800" w:type="dxa"/>
          </w:tcPr>
          <w:p>
            <w:pPr>
              <w:pStyle w:val="TableParagraph"/>
              <w:spacing w:line="271" w:lineRule="exact"/>
              <w:ind w:left="107"/>
              <w:rPr>
                <w:sz w:val="24"/>
              </w:rPr>
            </w:pPr>
            <w:r>
              <w:rPr>
                <w:sz w:val="24"/>
              </w:rPr>
              <w:t>Saddle Mtn</w:t>
            </w:r>
          </w:p>
        </w:tc>
        <w:tc>
          <w:tcPr>
            <w:tcW w:w="1080" w:type="dxa"/>
          </w:tcPr>
          <w:p>
            <w:pPr>
              <w:pStyle w:val="TableParagraph"/>
              <w:spacing w:line="271" w:lineRule="exact"/>
              <w:ind w:left="107"/>
              <w:rPr>
                <w:sz w:val="24"/>
              </w:rPr>
            </w:pPr>
            <w:r>
              <w:rPr>
                <w:sz w:val="24"/>
              </w:rPr>
              <w:t>452701</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USFWL</w:t>
            </w:r>
          </w:p>
        </w:tc>
        <w:tc>
          <w:tcPr>
            <w:tcW w:w="1183" w:type="dxa"/>
          </w:tcPr>
          <w:p>
            <w:pPr>
              <w:pStyle w:val="TableParagraph"/>
              <w:spacing w:line="271" w:lineRule="exact"/>
              <w:ind w:left="107"/>
              <w:rPr>
                <w:sz w:val="24"/>
              </w:rPr>
            </w:pPr>
            <w:r>
              <w:rPr>
                <w:sz w:val="24"/>
              </w:rPr>
              <w:t>46.6944</w:t>
            </w:r>
          </w:p>
        </w:tc>
        <w:tc>
          <w:tcPr>
            <w:tcW w:w="1260" w:type="dxa"/>
          </w:tcPr>
          <w:p>
            <w:pPr>
              <w:pStyle w:val="TableParagraph"/>
              <w:spacing w:line="271" w:lineRule="exact"/>
              <w:ind w:left="107"/>
              <w:rPr>
                <w:sz w:val="24"/>
              </w:rPr>
            </w:pPr>
            <w:r>
              <w:rPr>
                <w:sz w:val="24"/>
              </w:rPr>
              <w:t>119.6936</w:t>
            </w:r>
          </w:p>
        </w:tc>
        <w:tc>
          <w:tcPr>
            <w:tcW w:w="888" w:type="dxa"/>
          </w:tcPr>
          <w:p>
            <w:pPr>
              <w:pStyle w:val="TableParagraph"/>
              <w:spacing w:line="271" w:lineRule="exact"/>
              <w:ind w:left="211"/>
              <w:rPr>
                <w:sz w:val="24"/>
              </w:rPr>
            </w:pPr>
            <w:r>
              <w:rPr>
                <w:sz w:val="24"/>
              </w:rPr>
              <w:t>650</w:t>
            </w:r>
          </w:p>
        </w:tc>
        <w:tc>
          <w:tcPr>
            <w:tcW w:w="1452" w:type="dxa"/>
          </w:tcPr>
          <w:p>
            <w:pPr>
              <w:pStyle w:val="TableParagraph"/>
              <w:spacing w:line="271" w:lineRule="exact"/>
              <w:ind w:left="107"/>
              <w:rPr>
                <w:sz w:val="24"/>
              </w:rPr>
            </w:pPr>
            <w:r>
              <w:rPr>
                <w:sz w:val="24"/>
              </w:rPr>
              <w:t>Flat</w:t>
            </w:r>
          </w:p>
        </w:tc>
      </w:tr>
      <w:tr>
        <w:trPr>
          <w:trHeight w:val="551" w:hRule="atLeast"/>
        </w:trPr>
        <w:tc>
          <w:tcPr>
            <w:tcW w:w="1080" w:type="dxa"/>
          </w:tcPr>
          <w:p>
            <w:pPr>
              <w:pStyle w:val="TableParagraph"/>
              <w:spacing w:line="271" w:lineRule="exact"/>
              <w:ind w:left="107"/>
              <w:rPr>
                <w:sz w:val="24"/>
              </w:rPr>
            </w:pPr>
            <w:r>
              <w:rPr>
                <w:sz w:val="24"/>
              </w:rPr>
              <w:t>WA675</w:t>
            </w:r>
          </w:p>
        </w:tc>
        <w:tc>
          <w:tcPr>
            <w:tcW w:w="1800" w:type="dxa"/>
          </w:tcPr>
          <w:p>
            <w:pPr>
              <w:pStyle w:val="TableParagraph"/>
              <w:spacing w:line="271" w:lineRule="exact"/>
              <w:ind w:left="107"/>
              <w:rPr>
                <w:sz w:val="24"/>
              </w:rPr>
            </w:pPr>
            <w:r>
              <w:rPr>
                <w:sz w:val="24"/>
              </w:rPr>
              <w:t>High Bridge</w:t>
            </w:r>
          </w:p>
        </w:tc>
        <w:tc>
          <w:tcPr>
            <w:tcW w:w="1080" w:type="dxa"/>
          </w:tcPr>
          <w:p>
            <w:pPr>
              <w:pStyle w:val="TableParagraph"/>
              <w:spacing w:line="271" w:lineRule="exact"/>
              <w:ind w:left="107"/>
              <w:rPr>
                <w:sz w:val="24"/>
              </w:rPr>
            </w:pPr>
            <w:r>
              <w:rPr>
                <w:sz w:val="24"/>
              </w:rPr>
              <w:t>452318</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BIA</w:t>
            </w:r>
          </w:p>
        </w:tc>
        <w:tc>
          <w:tcPr>
            <w:tcW w:w="1183" w:type="dxa"/>
          </w:tcPr>
          <w:p>
            <w:pPr>
              <w:pStyle w:val="TableParagraph"/>
              <w:spacing w:line="271" w:lineRule="exact"/>
              <w:ind w:left="107"/>
              <w:rPr>
                <w:sz w:val="24"/>
              </w:rPr>
            </w:pPr>
            <w:r>
              <w:rPr>
                <w:sz w:val="24"/>
              </w:rPr>
              <w:t>46.0811</w:t>
            </w:r>
          </w:p>
        </w:tc>
        <w:tc>
          <w:tcPr>
            <w:tcW w:w="1260" w:type="dxa"/>
          </w:tcPr>
          <w:p>
            <w:pPr>
              <w:pStyle w:val="TableParagraph"/>
              <w:spacing w:line="271" w:lineRule="exact"/>
              <w:ind w:left="107"/>
              <w:rPr>
                <w:sz w:val="24"/>
              </w:rPr>
            </w:pPr>
            <w:r>
              <w:rPr>
                <w:sz w:val="24"/>
              </w:rPr>
              <w:t>120.5440</w:t>
            </w:r>
          </w:p>
        </w:tc>
        <w:tc>
          <w:tcPr>
            <w:tcW w:w="888" w:type="dxa"/>
          </w:tcPr>
          <w:p>
            <w:pPr>
              <w:pStyle w:val="TableParagraph"/>
              <w:spacing w:line="271" w:lineRule="exact"/>
              <w:ind w:left="211"/>
              <w:rPr>
                <w:sz w:val="24"/>
              </w:rPr>
            </w:pPr>
            <w:r>
              <w:rPr>
                <w:sz w:val="24"/>
              </w:rPr>
              <w:t>2106</w:t>
            </w:r>
          </w:p>
        </w:tc>
        <w:tc>
          <w:tcPr>
            <w:tcW w:w="1452" w:type="dxa"/>
          </w:tcPr>
          <w:p>
            <w:pPr>
              <w:pStyle w:val="TableParagraph"/>
              <w:spacing w:line="271" w:lineRule="exact"/>
              <w:ind w:left="107"/>
              <w:rPr>
                <w:sz w:val="24"/>
              </w:rPr>
            </w:pPr>
            <w:r>
              <w:rPr>
                <w:sz w:val="24"/>
              </w:rPr>
              <w:t>Midslope-N</w:t>
            </w:r>
          </w:p>
        </w:tc>
      </w:tr>
      <w:tr>
        <w:trPr>
          <w:trHeight w:val="275" w:hRule="atLeast"/>
        </w:trPr>
        <w:tc>
          <w:tcPr>
            <w:tcW w:w="1080" w:type="dxa"/>
          </w:tcPr>
          <w:p>
            <w:pPr>
              <w:pStyle w:val="TableParagraph"/>
              <w:rPr>
                <w:rFonts w:ascii="Times New Roman"/>
                <w:sz w:val="20"/>
              </w:rPr>
            </w:pPr>
          </w:p>
        </w:tc>
        <w:tc>
          <w:tcPr>
            <w:tcW w:w="1800" w:type="dxa"/>
          </w:tcPr>
          <w:p>
            <w:pPr>
              <w:pStyle w:val="TableParagraph"/>
              <w:rPr>
                <w:rFonts w:ascii="Times New Roman"/>
                <w:sz w:val="20"/>
              </w:rPr>
            </w:pPr>
          </w:p>
        </w:tc>
        <w:tc>
          <w:tcPr>
            <w:tcW w:w="1080" w:type="dxa"/>
          </w:tcPr>
          <w:p>
            <w:pPr>
              <w:pStyle w:val="TableParagraph"/>
              <w:rPr>
                <w:rFonts w:ascii="Times New Roman"/>
                <w:sz w:val="20"/>
              </w:rPr>
            </w:pPr>
          </w:p>
        </w:tc>
        <w:tc>
          <w:tcPr>
            <w:tcW w:w="1080" w:type="dxa"/>
          </w:tcPr>
          <w:p>
            <w:pPr>
              <w:pStyle w:val="TableParagraph"/>
              <w:rPr>
                <w:rFonts w:ascii="Times New Roman"/>
                <w:sz w:val="20"/>
              </w:rPr>
            </w:pPr>
          </w:p>
        </w:tc>
        <w:tc>
          <w:tcPr>
            <w:tcW w:w="977" w:type="dxa"/>
          </w:tcPr>
          <w:p>
            <w:pPr>
              <w:pStyle w:val="TableParagraph"/>
              <w:rPr>
                <w:rFonts w:ascii="Times New Roman"/>
                <w:sz w:val="20"/>
              </w:rPr>
            </w:pPr>
          </w:p>
        </w:tc>
        <w:tc>
          <w:tcPr>
            <w:tcW w:w="1183" w:type="dxa"/>
          </w:tcPr>
          <w:p>
            <w:pPr>
              <w:pStyle w:val="TableParagraph"/>
              <w:rPr>
                <w:rFonts w:ascii="Times New Roman"/>
                <w:sz w:val="20"/>
              </w:rPr>
            </w:pPr>
          </w:p>
        </w:tc>
        <w:tc>
          <w:tcPr>
            <w:tcW w:w="1260" w:type="dxa"/>
          </w:tcPr>
          <w:p>
            <w:pPr>
              <w:pStyle w:val="TableParagraph"/>
              <w:rPr>
                <w:rFonts w:ascii="Times New Roman"/>
                <w:sz w:val="20"/>
              </w:rPr>
            </w:pPr>
          </w:p>
        </w:tc>
        <w:tc>
          <w:tcPr>
            <w:tcW w:w="888" w:type="dxa"/>
          </w:tcPr>
          <w:p>
            <w:pPr>
              <w:pStyle w:val="TableParagraph"/>
              <w:rPr>
                <w:rFonts w:ascii="Times New Roman"/>
                <w:sz w:val="20"/>
              </w:rPr>
            </w:pPr>
          </w:p>
        </w:tc>
        <w:tc>
          <w:tcPr>
            <w:tcW w:w="1452" w:type="dxa"/>
          </w:tcPr>
          <w:p>
            <w:pPr>
              <w:pStyle w:val="TableParagraph"/>
              <w:rPr>
                <w:rFonts w:ascii="Times New Roman"/>
                <w:sz w:val="20"/>
              </w:rPr>
            </w:pPr>
          </w:p>
        </w:tc>
      </w:tr>
      <w:tr>
        <w:trPr>
          <w:trHeight w:val="551" w:hRule="atLeast"/>
        </w:trPr>
        <w:tc>
          <w:tcPr>
            <w:tcW w:w="1080" w:type="dxa"/>
          </w:tcPr>
          <w:p>
            <w:pPr>
              <w:pStyle w:val="TableParagraph"/>
              <w:spacing w:line="271" w:lineRule="exact"/>
              <w:ind w:left="107"/>
              <w:rPr>
                <w:sz w:val="24"/>
              </w:rPr>
            </w:pPr>
            <w:r>
              <w:rPr>
                <w:sz w:val="24"/>
              </w:rPr>
              <w:t>WA681</w:t>
            </w:r>
          </w:p>
        </w:tc>
        <w:tc>
          <w:tcPr>
            <w:tcW w:w="1800" w:type="dxa"/>
          </w:tcPr>
          <w:p>
            <w:pPr>
              <w:pStyle w:val="TableParagraph"/>
              <w:spacing w:line="271" w:lineRule="exact"/>
              <w:ind w:left="107"/>
              <w:rPr>
                <w:sz w:val="24"/>
              </w:rPr>
            </w:pPr>
            <w:r>
              <w:rPr>
                <w:sz w:val="24"/>
              </w:rPr>
              <w:t>Signal Peak</w:t>
            </w:r>
          </w:p>
        </w:tc>
        <w:tc>
          <w:tcPr>
            <w:tcW w:w="1080" w:type="dxa"/>
          </w:tcPr>
          <w:p>
            <w:pPr>
              <w:pStyle w:val="TableParagraph"/>
              <w:spacing w:line="271" w:lineRule="exact"/>
              <w:ind w:left="107"/>
              <w:rPr>
                <w:sz w:val="24"/>
              </w:rPr>
            </w:pPr>
            <w:r>
              <w:rPr>
                <w:sz w:val="24"/>
              </w:rPr>
              <w:t>452307</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BIA</w:t>
            </w:r>
          </w:p>
        </w:tc>
        <w:tc>
          <w:tcPr>
            <w:tcW w:w="1183" w:type="dxa"/>
          </w:tcPr>
          <w:p>
            <w:pPr>
              <w:pStyle w:val="TableParagraph"/>
              <w:spacing w:line="271" w:lineRule="exact"/>
              <w:ind w:left="107"/>
              <w:rPr>
                <w:sz w:val="24"/>
              </w:rPr>
            </w:pPr>
            <w:r>
              <w:rPr>
                <w:sz w:val="24"/>
              </w:rPr>
              <w:t>46.2269</w:t>
            </w:r>
          </w:p>
        </w:tc>
        <w:tc>
          <w:tcPr>
            <w:tcW w:w="1260" w:type="dxa"/>
          </w:tcPr>
          <w:p>
            <w:pPr>
              <w:pStyle w:val="TableParagraph"/>
              <w:spacing w:line="271" w:lineRule="exact"/>
              <w:ind w:left="107"/>
              <w:rPr>
                <w:sz w:val="24"/>
              </w:rPr>
            </w:pPr>
            <w:r>
              <w:rPr>
                <w:sz w:val="24"/>
              </w:rPr>
              <w:t>121.1375</w:t>
            </w:r>
          </w:p>
        </w:tc>
        <w:tc>
          <w:tcPr>
            <w:tcW w:w="888" w:type="dxa"/>
          </w:tcPr>
          <w:p>
            <w:pPr>
              <w:pStyle w:val="TableParagraph"/>
              <w:spacing w:line="271" w:lineRule="exact"/>
              <w:ind w:left="211"/>
              <w:rPr>
                <w:sz w:val="24"/>
              </w:rPr>
            </w:pPr>
            <w:r>
              <w:rPr>
                <w:sz w:val="24"/>
              </w:rPr>
              <w:t>5052</w:t>
            </w:r>
          </w:p>
        </w:tc>
        <w:tc>
          <w:tcPr>
            <w:tcW w:w="1452" w:type="dxa"/>
          </w:tcPr>
          <w:p>
            <w:pPr>
              <w:pStyle w:val="TableParagraph"/>
              <w:spacing w:line="271" w:lineRule="exact"/>
              <w:ind w:left="107"/>
              <w:rPr>
                <w:sz w:val="24"/>
              </w:rPr>
            </w:pPr>
            <w:r>
              <w:rPr>
                <w:sz w:val="24"/>
              </w:rPr>
              <w:t>Ridge-S</w:t>
            </w:r>
          </w:p>
        </w:tc>
      </w:tr>
      <w:tr>
        <w:trPr>
          <w:trHeight w:val="551" w:hRule="atLeast"/>
        </w:trPr>
        <w:tc>
          <w:tcPr>
            <w:tcW w:w="1080" w:type="dxa"/>
          </w:tcPr>
          <w:p>
            <w:pPr>
              <w:pStyle w:val="TableParagraph"/>
              <w:spacing w:line="271" w:lineRule="exact"/>
              <w:ind w:left="107"/>
              <w:rPr>
                <w:sz w:val="24"/>
              </w:rPr>
            </w:pPr>
            <w:r>
              <w:rPr>
                <w:sz w:val="24"/>
              </w:rPr>
              <w:t>WA681</w:t>
            </w:r>
          </w:p>
        </w:tc>
        <w:tc>
          <w:tcPr>
            <w:tcW w:w="1800" w:type="dxa"/>
          </w:tcPr>
          <w:p>
            <w:pPr>
              <w:pStyle w:val="TableParagraph"/>
              <w:spacing w:line="271" w:lineRule="exact"/>
              <w:ind w:left="107"/>
              <w:rPr>
                <w:sz w:val="24"/>
              </w:rPr>
            </w:pPr>
            <w:r>
              <w:rPr>
                <w:sz w:val="24"/>
              </w:rPr>
              <w:t>Mill Creek</w:t>
            </w:r>
          </w:p>
        </w:tc>
        <w:tc>
          <w:tcPr>
            <w:tcW w:w="1080" w:type="dxa"/>
          </w:tcPr>
          <w:p>
            <w:pPr>
              <w:pStyle w:val="TableParagraph"/>
              <w:spacing w:line="271" w:lineRule="exact"/>
              <w:ind w:left="107"/>
              <w:rPr>
                <w:sz w:val="24"/>
              </w:rPr>
            </w:pPr>
            <w:r>
              <w:rPr>
                <w:sz w:val="24"/>
              </w:rPr>
              <w:t>452304</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BIA</w:t>
            </w:r>
          </w:p>
        </w:tc>
        <w:tc>
          <w:tcPr>
            <w:tcW w:w="1183" w:type="dxa"/>
          </w:tcPr>
          <w:p>
            <w:pPr>
              <w:pStyle w:val="TableParagraph"/>
              <w:spacing w:line="271" w:lineRule="exact"/>
              <w:ind w:left="107"/>
              <w:rPr>
                <w:sz w:val="24"/>
              </w:rPr>
            </w:pPr>
            <w:r>
              <w:rPr>
                <w:sz w:val="24"/>
              </w:rPr>
              <w:t>46.2625</w:t>
            </w:r>
          </w:p>
        </w:tc>
        <w:tc>
          <w:tcPr>
            <w:tcW w:w="1260" w:type="dxa"/>
          </w:tcPr>
          <w:p>
            <w:pPr>
              <w:pStyle w:val="TableParagraph"/>
              <w:spacing w:line="271" w:lineRule="exact"/>
              <w:ind w:left="107"/>
              <w:rPr>
                <w:sz w:val="24"/>
              </w:rPr>
            </w:pPr>
            <w:r>
              <w:rPr>
                <w:sz w:val="24"/>
              </w:rPr>
              <w:t>120.8622</w:t>
            </w:r>
          </w:p>
        </w:tc>
        <w:tc>
          <w:tcPr>
            <w:tcW w:w="888" w:type="dxa"/>
          </w:tcPr>
          <w:p>
            <w:pPr>
              <w:pStyle w:val="TableParagraph"/>
              <w:spacing w:line="271" w:lineRule="exact"/>
              <w:ind w:left="211"/>
              <w:rPr>
                <w:sz w:val="24"/>
              </w:rPr>
            </w:pPr>
            <w:r>
              <w:rPr>
                <w:sz w:val="24"/>
              </w:rPr>
              <w:t>2928</w:t>
            </w:r>
          </w:p>
        </w:tc>
        <w:tc>
          <w:tcPr>
            <w:tcW w:w="1452" w:type="dxa"/>
          </w:tcPr>
          <w:p>
            <w:pPr>
              <w:pStyle w:val="TableParagraph"/>
              <w:spacing w:line="271" w:lineRule="exact"/>
              <w:ind w:left="107"/>
              <w:rPr>
                <w:sz w:val="24"/>
              </w:rPr>
            </w:pPr>
            <w:r>
              <w:rPr>
                <w:sz w:val="24"/>
              </w:rPr>
              <w:t>Midslope-</w:t>
            </w:r>
          </w:p>
          <w:p>
            <w:pPr>
              <w:pStyle w:val="TableParagraph"/>
              <w:spacing w:line="260" w:lineRule="exact"/>
              <w:ind w:left="107"/>
              <w:rPr>
                <w:sz w:val="24"/>
              </w:rPr>
            </w:pPr>
            <w:r>
              <w:rPr>
                <w:sz w:val="24"/>
              </w:rPr>
              <w:t>flat</w:t>
            </w:r>
          </w:p>
        </w:tc>
      </w:tr>
      <w:tr>
        <w:trPr>
          <w:trHeight w:val="553" w:hRule="atLeast"/>
        </w:trPr>
        <w:tc>
          <w:tcPr>
            <w:tcW w:w="1080" w:type="dxa"/>
          </w:tcPr>
          <w:p>
            <w:pPr>
              <w:pStyle w:val="TableParagraph"/>
              <w:spacing w:line="274" w:lineRule="exact"/>
              <w:ind w:left="107"/>
              <w:rPr>
                <w:sz w:val="24"/>
              </w:rPr>
            </w:pPr>
            <w:r>
              <w:rPr>
                <w:sz w:val="24"/>
              </w:rPr>
              <w:t>WA681</w:t>
            </w:r>
          </w:p>
        </w:tc>
        <w:tc>
          <w:tcPr>
            <w:tcW w:w="1800" w:type="dxa"/>
          </w:tcPr>
          <w:p>
            <w:pPr>
              <w:pStyle w:val="TableParagraph"/>
              <w:spacing w:line="274" w:lineRule="exact"/>
              <w:ind w:left="107"/>
              <w:rPr>
                <w:sz w:val="24"/>
              </w:rPr>
            </w:pPr>
            <w:r>
              <w:rPr>
                <w:sz w:val="24"/>
              </w:rPr>
              <w:t>Teepee Creek</w:t>
            </w:r>
          </w:p>
        </w:tc>
        <w:tc>
          <w:tcPr>
            <w:tcW w:w="1080" w:type="dxa"/>
          </w:tcPr>
          <w:p>
            <w:pPr>
              <w:pStyle w:val="TableParagraph"/>
              <w:spacing w:line="274" w:lineRule="exact"/>
              <w:ind w:left="107"/>
              <w:rPr>
                <w:sz w:val="24"/>
              </w:rPr>
            </w:pPr>
            <w:r>
              <w:rPr>
                <w:sz w:val="24"/>
              </w:rPr>
              <w:t>452317</w:t>
            </w:r>
          </w:p>
        </w:tc>
        <w:tc>
          <w:tcPr>
            <w:tcW w:w="1080" w:type="dxa"/>
          </w:tcPr>
          <w:p>
            <w:pPr>
              <w:pStyle w:val="TableParagraph"/>
              <w:spacing w:line="274" w:lineRule="exact"/>
              <w:ind w:left="107"/>
              <w:rPr>
                <w:sz w:val="24"/>
              </w:rPr>
            </w:pPr>
            <w:r>
              <w:rPr>
                <w:sz w:val="24"/>
              </w:rPr>
              <w:t>RAWS</w:t>
            </w:r>
          </w:p>
        </w:tc>
        <w:tc>
          <w:tcPr>
            <w:tcW w:w="977" w:type="dxa"/>
          </w:tcPr>
          <w:p>
            <w:pPr>
              <w:pStyle w:val="TableParagraph"/>
              <w:spacing w:line="274" w:lineRule="exact"/>
              <w:ind w:left="107"/>
              <w:rPr>
                <w:sz w:val="24"/>
              </w:rPr>
            </w:pPr>
            <w:r>
              <w:rPr>
                <w:sz w:val="24"/>
              </w:rPr>
              <w:t>BIA</w:t>
            </w:r>
          </w:p>
        </w:tc>
        <w:tc>
          <w:tcPr>
            <w:tcW w:w="1183" w:type="dxa"/>
          </w:tcPr>
          <w:p>
            <w:pPr>
              <w:pStyle w:val="TableParagraph"/>
              <w:spacing w:line="271" w:lineRule="exact"/>
              <w:ind w:left="107"/>
              <w:rPr>
                <w:sz w:val="24"/>
              </w:rPr>
            </w:pPr>
            <w:r>
              <w:rPr>
                <w:sz w:val="24"/>
              </w:rPr>
              <w:t>46.1642</w:t>
            </w:r>
          </w:p>
        </w:tc>
        <w:tc>
          <w:tcPr>
            <w:tcW w:w="1260" w:type="dxa"/>
          </w:tcPr>
          <w:p>
            <w:pPr>
              <w:pStyle w:val="TableParagraph"/>
              <w:spacing w:line="274" w:lineRule="exact"/>
              <w:ind w:left="107"/>
              <w:rPr>
                <w:sz w:val="24"/>
              </w:rPr>
            </w:pPr>
            <w:r>
              <w:rPr>
                <w:sz w:val="24"/>
              </w:rPr>
              <w:t>121.0331</w:t>
            </w:r>
          </w:p>
        </w:tc>
        <w:tc>
          <w:tcPr>
            <w:tcW w:w="888" w:type="dxa"/>
          </w:tcPr>
          <w:p>
            <w:pPr>
              <w:pStyle w:val="TableParagraph"/>
              <w:spacing w:line="271" w:lineRule="exact"/>
              <w:ind w:left="211"/>
              <w:rPr>
                <w:sz w:val="24"/>
              </w:rPr>
            </w:pPr>
            <w:r>
              <w:rPr>
                <w:sz w:val="24"/>
              </w:rPr>
              <w:t>2980</w:t>
            </w:r>
          </w:p>
        </w:tc>
        <w:tc>
          <w:tcPr>
            <w:tcW w:w="1452" w:type="dxa"/>
          </w:tcPr>
          <w:p>
            <w:pPr>
              <w:pStyle w:val="TableParagraph"/>
              <w:spacing w:line="274" w:lineRule="exact" w:before="4"/>
              <w:ind w:left="107" w:right="274"/>
              <w:rPr>
                <w:sz w:val="24"/>
              </w:rPr>
            </w:pPr>
            <w:r>
              <w:rPr>
                <w:sz w:val="24"/>
              </w:rPr>
              <w:t>Midslope- flat</w:t>
            </w:r>
          </w:p>
        </w:tc>
      </w:tr>
      <w:tr>
        <w:trPr>
          <w:trHeight w:val="554" w:hRule="atLeast"/>
        </w:trPr>
        <w:tc>
          <w:tcPr>
            <w:tcW w:w="1080" w:type="dxa"/>
          </w:tcPr>
          <w:p>
            <w:pPr>
              <w:pStyle w:val="TableParagraph"/>
              <w:spacing w:line="271" w:lineRule="exact"/>
              <w:ind w:left="107"/>
              <w:rPr>
                <w:sz w:val="24"/>
              </w:rPr>
            </w:pPr>
            <w:r>
              <w:rPr>
                <w:sz w:val="24"/>
              </w:rPr>
              <w:t>WA681</w:t>
            </w:r>
          </w:p>
        </w:tc>
        <w:tc>
          <w:tcPr>
            <w:tcW w:w="1800" w:type="dxa"/>
          </w:tcPr>
          <w:p>
            <w:pPr>
              <w:pStyle w:val="TableParagraph"/>
              <w:spacing w:line="271" w:lineRule="exact"/>
              <w:ind w:left="107"/>
              <w:rPr>
                <w:sz w:val="24"/>
              </w:rPr>
            </w:pPr>
            <w:r>
              <w:rPr>
                <w:sz w:val="24"/>
              </w:rPr>
              <w:t>Grayback</w:t>
            </w:r>
          </w:p>
        </w:tc>
        <w:tc>
          <w:tcPr>
            <w:tcW w:w="1080" w:type="dxa"/>
          </w:tcPr>
          <w:p>
            <w:pPr>
              <w:pStyle w:val="TableParagraph"/>
              <w:spacing w:line="271" w:lineRule="exact"/>
              <w:ind w:left="107"/>
              <w:rPr>
                <w:sz w:val="24"/>
              </w:rPr>
            </w:pPr>
            <w:r>
              <w:rPr>
                <w:sz w:val="24"/>
              </w:rPr>
              <w:t>452404</w:t>
            </w:r>
          </w:p>
        </w:tc>
        <w:tc>
          <w:tcPr>
            <w:tcW w:w="1080" w:type="dxa"/>
          </w:tcPr>
          <w:p>
            <w:pPr>
              <w:pStyle w:val="TableParagraph"/>
              <w:spacing w:line="271" w:lineRule="exact"/>
              <w:ind w:left="107"/>
              <w:rPr>
                <w:sz w:val="24"/>
              </w:rPr>
            </w:pPr>
            <w:r>
              <w:rPr>
                <w:sz w:val="24"/>
              </w:rPr>
              <w:t>RAWS</w:t>
            </w:r>
          </w:p>
        </w:tc>
        <w:tc>
          <w:tcPr>
            <w:tcW w:w="977" w:type="dxa"/>
          </w:tcPr>
          <w:p>
            <w:pPr>
              <w:pStyle w:val="TableParagraph"/>
              <w:spacing w:line="271" w:lineRule="exact"/>
              <w:ind w:left="107"/>
              <w:rPr>
                <w:sz w:val="24"/>
              </w:rPr>
            </w:pPr>
            <w:r>
              <w:rPr>
                <w:sz w:val="24"/>
              </w:rPr>
              <w:t>DNR</w:t>
            </w:r>
          </w:p>
        </w:tc>
        <w:tc>
          <w:tcPr>
            <w:tcW w:w="1183" w:type="dxa"/>
          </w:tcPr>
          <w:p>
            <w:pPr>
              <w:pStyle w:val="TableParagraph"/>
              <w:spacing w:line="271" w:lineRule="exact"/>
              <w:ind w:left="107"/>
              <w:rPr>
                <w:sz w:val="24"/>
              </w:rPr>
            </w:pPr>
            <w:r>
              <w:rPr>
                <w:sz w:val="24"/>
              </w:rPr>
              <w:t>45.9908</w:t>
            </w:r>
          </w:p>
        </w:tc>
        <w:tc>
          <w:tcPr>
            <w:tcW w:w="1260" w:type="dxa"/>
          </w:tcPr>
          <w:p>
            <w:pPr>
              <w:pStyle w:val="TableParagraph"/>
              <w:spacing w:line="271" w:lineRule="exact"/>
              <w:ind w:left="107"/>
              <w:rPr>
                <w:sz w:val="24"/>
              </w:rPr>
            </w:pPr>
            <w:r>
              <w:rPr>
                <w:sz w:val="24"/>
              </w:rPr>
              <w:t>121.0838</w:t>
            </w:r>
          </w:p>
        </w:tc>
        <w:tc>
          <w:tcPr>
            <w:tcW w:w="888" w:type="dxa"/>
          </w:tcPr>
          <w:p>
            <w:pPr>
              <w:pStyle w:val="TableParagraph"/>
              <w:spacing w:line="271" w:lineRule="exact"/>
              <w:ind w:left="211"/>
              <w:rPr>
                <w:sz w:val="24"/>
              </w:rPr>
            </w:pPr>
            <w:r>
              <w:rPr>
                <w:sz w:val="24"/>
              </w:rPr>
              <w:t>3766</w:t>
            </w:r>
          </w:p>
        </w:tc>
        <w:tc>
          <w:tcPr>
            <w:tcW w:w="1452" w:type="dxa"/>
          </w:tcPr>
          <w:p>
            <w:pPr>
              <w:pStyle w:val="TableParagraph"/>
              <w:spacing w:line="271" w:lineRule="exact"/>
              <w:ind w:left="107"/>
              <w:rPr>
                <w:sz w:val="24"/>
              </w:rPr>
            </w:pPr>
            <w:r>
              <w:rPr>
                <w:sz w:val="24"/>
              </w:rPr>
              <w:t>Ridge</w:t>
            </w:r>
          </w:p>
        </w:tc>
      </w:tr>
    </w:tbl>
    <w:p>
      <w:pPr>
        <w:spacing w:after="0" w:line="271" w:lineRule="exact"/>
        <w:rPr>
          <w:sz w:val="24"/>
        </w:rPr>
        <w:sectPr>
          <w:pgSz w:w="12240" w:h="15840"/>
          <w:pgMar w:header="0" w:footer="968" w:top="1440" w:bottom="1160" w:left="340" w:right="620"/>
        </w:sectPr>
      </w:pPr>
    </w:p>
    <w:p>
      <w:pPr>
        <w:spacing w:line="240" w:lineRule="auto" w:before="57"/>
        <w:ind w:left="3171" w:right="828" w:hanging="20"/>
        <w:jc w:val="left"/>
        <w:rPr>
          <w:b/>
          <w:sz w:val="48"/>
        </w:rPr>
      </w:pPr>
      <w:r>
        <w:rPr/>
        <w:drawing>
          <wp:anchor distT="0" distB="0" distL="0" distR="0" allowOverlap="1" layoutInCell="1" locked="0" behindDoc="0" simplePos="0" relativeHeight="1336">
            <wp:simplePos x="0" y="0"/>
            <wp:positionH relativeFrom="page">
              <wp:posOffset>914400</wp:posOffset>
            </wp:positionH>
            <wp:positionV relativeFrom="paragraph">
              <wp:posOffset>27327</wp:posOffset>
            </wp:positionV>
            <wp:extent cx="1217929" cy="1217929"/>
            <wp:effectExtent l="0" t="0" r="0" b="0"/>
            <wp:wrapNone/>
            <wp:docPr id="29" name="image3.png" descr=""/>
            <wp:cNvGraphicFramePr>
              <a:graphicFrameLocks noChangeAspect="1"/>
            </wp:cNvGraphicFramePr>
            <a:graphic>
              <a:graphicData uri="http://schemas.openxmlformats.org/drawingml/2006/picture">
                <pic:pic>
                  <pic:nvPicPr>
                    <pic:cNvPr id="30" name="image3.png"/>
                    <pic:cNvPicPr/>
                  </pic:nvPicPr>
                  <pic:blipFill>
                    <a:blip r:embed="rId7" cstate="print"/>
                    <a:stretch>
                      <a:fillRect/>
                    </a:stretch>
                  </pic:blipFill>
                  <pic:spPr>
                    <a:xfrm>
                      <a:off x="0" y="0"/>
                      <a:ext cx="1217929" cy="1217929"/>
                    </a:xfrm>
                    <a:prstGeom prst="rect">
                      <a:avLst/>
                    </a:prstGeom>
                  </pic:spPr>
                </pic:pic>
              </a:graphicData>
            </a:graphic>
          </wp:anchor>
        </w:drawing>
      </w:r>
      <w:bookmarkStart w:name="NATIONAL WEATHER SERVICE PORTLAND" w:id="73"/>
      <w:bookmarkEnd w:id="73"/>
      <w:r>
        <w:rPr/>
      </w:r>
      <w:bookmarkStart w:name="_bookmark12" w:id="74"/>
      <w:bookmarkEnd w:id="74"/>
      <w:r>
        <w:rPr/>
      </w:r>
      <w:r>
        <w:rPr>
          <w:b/>
          <w:sz w:val="48"/>
          <w:u w:val="thick"/>
        </w:rPr>
        <w:t>NATIONAL WEATHER SERVICE</w:t>
      </w:r>
      <w:r>
        <w:rPr>
          <w:b/>
          <w:sz w:val="48"/>
        </w:rPr>
        <w:t> </w:t>
      </w:r>
      <w:r>
        <w:rPr>
          <w:b/>
          <w:sz w:val="48"/>
          <w:u w:val="thick"/>
        </w:rPr>
        <w:t>PORTLAND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1"/>
        </w:rPr>
      </w:pPr>
    </w:p>
    <w:p>
      <w:pPr>
        <w:spacing w:before="94"/>
        <w:ind w:left="999" w:right="0" w:firstLine="0"/>
        <w:jc w:val="left"/>
        <w:rPr>
          <w:b/>
          <w:sz w:val="22"/>
        </w:rPr>
      </w:pPr>
      <w:r>
        <w:rPr>
          <w:b/>
          <w:sz w:val="22"/>
        </w:rPr>
        <w:t>Changes for 2018:</w:t>
      </w:r>
    </w:p>
    <w:p>
      <w:pPr>
        <w:pStyle w:val="BodyText"/>
        <w:spacing w:before="11"/>
        <w:rPr>
          <w:b/>
          <w:sz w:val="21"/>
        </w:rPr>
      </w:pPr>
    </w:p>
    <w:p>
      <w:pPr>
        <w:pStyle w:val="ListParagraph"/>
        <w:numPr>
          <w:ilvl w:val="1"/>
          <w:numId w:val="9"/>
        </w:numPr>
        <w:tabs>
          <w:tab w:pos="1719" w:val="left" w:leader="none"/>
          <w:tab w:pos="1720" w:val="left" w:leader="none"/>
        </w:tabs>
        <w:spacing w:line="240" w:lineRule="auto" w:before="0" w:after="0"/>
        <w:ind w:left="1719" w:right="0" w:hanging="360"/>
        <w:jc w:val="left"/>
        <w:rPr>
          <w:b/>
          <w:sz w:val="22"/>
        </w:rPr>
      </w:pPr>
      <w:r>
        <w:rPr>
          <w:b/>
          <w:sz w:val="22"/>
        </w:rPr>
        <w:t>Inclusion of Mixing Height and Transport Wind elements in</w:t>
      </w:r>
      <w:r>
        <w:rPr>
          <w:b/>
          <w:spacing w:val="-8"/>
          <w:sz w:val="22"/>
        </w:rPr>
        <w:t> </w:t>
      </w:r>
      <w:r>
        <w:rPr>
          <w:b/>
          <w:sz w:val="22"/>
        </w:rPr>
        <w:t>FWF</w:t>
      </w:r>
    </w:p>
    <w:p>
      <w:pPr>
        <w:pStyle w:val="BodyText"/>
        <w:rPr>
          <w:b/>
          <w:sz w:val="26"/>
        </w:rPr>
      </w:pPr>
    </w:p>
    <w:p>
      <w:pPr>
        <w:spacing w:before="205"/>
        <w:ind w:left="999" w:right="0" w:firstLine="0"/>
        <w:jc w:val="left"/>
        <w:rPr>
          <w:b/>
          <w:sz w:val="22"/>
        </w:rPr>
      </w:pPr>
      <w:r>
        <w:rPr>
          <w:b/>
          <w:sz w:val="22"/>
        </w:rPr>
        <w:t>LOCATION</w:t>
      </w:r>
    </w:p>
    <w:p>
      <w:pPr>
        <w:pStyle w:val="BodyText"/>
        <w:spacing w:before="2"/>
        <w:rPr>
          <w:b/>
          <w:sz w:val="22"/>
        </w:rPr>
      </w:pPr>
    </w:p>
    <w:p>
      <w:pPr>
        <w:spacing w:before="0"/>
        <w:ind w:left="999" w:right="6213" w:firstLine="0"/>
        <w:jc w:val="left"/>
        <w:rPr>
          <w:sz w:val="22"/>
        </w:rPr>
      </w:pPr>
      <w:r>
        <w:rPr>
          <w:sz w:val="22"/>
        </w:rPr>
        <w:t>National Weather Service Forecast Office 5241 NE 122nd Avenue</w:t>
      </w:r>
    </w:p>
    <w:p>
      <w:pPr>
        <w:spacing w:before="1"/>
        <w:ind w:left="999" w:right="0" w:firstLine="0"/>
        <w:jc w:val="left"/>
        <w:rPr>
          <w:sz w:val="22"/>
        </w:rPr>
      </w:pPr>
      <w:r>
        <w:rPr>
          <w:sz w:val="22"/>
        </w:rPr>
        <w:t>Portland, OR 97230-1089</w:t>
      </w:r>
    </w:p>
    <w:p>
      <w:pPr>
        <w:pStyle w:val="BodyText"/>
        <w:spacing w:before="9"/>
        <w:rPr>
          <w:sz w:val="21"/>
        </w:rPr>
      </w:pPr>
    </w:p>
    <w:p>
      <w:pPr>
        <w:spacing w:before="0"/>
        <w:ind w:left="999" w:right="0" w:firstLine="0"/>
        <w:jc w:val="left"/>
        <w:rPr>
          <w:b/>
          <w:sz w:val="22"/>
        </w:rPr>
      </w:pPr>
      <w:r>
        <w:rPr>
          <w:b/>
          <w:sz w:val="22"/>
        </w:rPr>
        <w:t>HOURS</w:t>
      </w:r>
    </w:p>
    <w:p>
      <w:pPr>
        <w:pStyle w:val="BodyText"/>
        <w:spacing w:before="3"/>
        <w:rPr>
          <w:b/>
          <w:sz w:val="22"/>
        </w:rPr>
      </w:pPr>
    </w:p>
    <w:p>
      <w:pPr>
        <w:spacing w:line="240" w:lineRule="auto" w:before="0"/>
        <w:ind w:left="999" w:right="736" w:firstLine="0"/>
        <w:jc w:val="both"/>
        <w:rPr>
          <w:sz w:val="22"/>
        </w:rPr>
      </w:pPr>
      <w:r>
        <w:rPr>
          <w:sz w:val="22"/>
        </w:rPr>
        <w:t>The National Weather Service Office is open 24 hours a day, 7 days a week. The fire weather duty desk will be staffed with a </w:t>
      </w:r>
      <w:r>
        <w:rPr>
          <w:b/>
          <w:sz w:val="22"/>
        </w:rPr>
        <w:t>CERTIFIED </w:t>
      </w:r>
      <w:r>
        <w:rPr>
          <w:sz w:val="22"/>
        </w:rPr>
        <w:t>fire weather forecaster between the hours of 0630 and 1530 seven days a week during fire season, normally from Memorial Day through mid-October. The fire weather desk is staffed with a </w:t>
      </w:r>
      <w:r>
        <w:rPr>
          <w:b/>
          <w:sz w:val="22"/>
        </w:rPr>
        <w:t>CERTIFIED </w:t>
      </w:r>
      <w:r>
        <w:rPr>
          <w:sz w:val="22"/>
        </w:rPr>
        <w:t>fire weather forecaster from 0700 to 1600 Monday through Friday during Spring burning (mid to late March through Memorial Day), and also during the fall burning period (mid to late</w:t>
      </w:r>
      <w:r>
        <w:rPr>
          <w:spacing w:val="-10"/>
          <w:sz w:val="22"/>
        </w:rPr>
        <w:t> </w:t>
      </w:r>
      <w:r>
        <w:rPr>
          <w:sz w:val="22"/>
        </w:rPr>
        <w:t>October).</w:t>
      </w:r>
    </w:p>
    <w:p>
      <w:pPr>
        <w:pStyle w:val="BodyText"/>
        <w:spacing w:before="6"/>
        <w:rPr>
          <w:sz w:val="21"/>
        </w:rPr>
      </w:pPr>
    </w:p>
    <w:p>
      <w:pPr>
        <w:spacing w:before="1"/>
        <w:ind w:left="999" w:right="0" w:firstLine="0"/>
        <w:jc w:val="left"/>
        <w:rPr>
          <w:b/>
          <w:sz w:val="22"/>
        </w:rPr>
      </w:pPr>
      <w:r>
        <w:rPr>
          <w:b/>
          <w:sz w:val="22"/>
        </w:rPr>
        <w:t>STAFF</w:t>
      </w:r>
    </w:p>
    <w:p>
      <w:pPr>
        <w:pStyle w:val="BodyText"/>
        <w:spacing w:before="2"/>
        <w:rPr>
          <w:b/>
          <w:sz w:val="22"/>
        </w:rPr>
      </w:pPr>
    </w:p>
    <w:p>
      <w:pPr>
        <w:tabs>
          <w:tab w:pos="3879" w:val="left" w:leader="none"/>
        </w:tabs>
        <w:spacing w:before="0"/>
        <w:ind w:left="1719" w:right="0" w:firstLine="0"/>
        <w:jc w:val="left"/>
        <w:rPr>
          <w:sz w:val="22"/>
        </w:rPr>
      </w:pPr>
      <w:r>
        <w:rPr>
          <w:sz w:val="22"/>
        </w:rPr>
        <w:t>David</w:t>
      </w:r>
      <w:r>
        <w:rPr>
          <w:spacing w:val="-2"/>
          <w:sz w:val="22"/>
        </w:rPr>
        <w:t> </w:t>
      </w:r>
      <w:r>
        <w:rPr>
          <w:sz w:val="22"/>
        </w:rPr>
        <w:t>Bright</w:t>
        <w:tab/>
        <w:t>Meteorologist in</w:t>
      </w:r>
      <w:r>
        <w:rPr>
          <w:spacing w:val="0"/>
          <w:sz w:val="22"/>
        </w:rPr>
        <w:t> </w:t>
      </w:r>
      <w:r>
        <w:rPr>
          <w:sz w:val="22"/>
        </w:rPr>
        <w:t>Charge</w:t>
      </w:r>
    </w:p>
    <w:p>
      <w:pPr>
        <w:tabs>
          <w:tab w:pos="3879" w:val="left" w:leader="none"/>
        </w:tabs>
        <w:spacing w:before="2"/>
        <w:ind w:left="1719" w:right="0" w:firstLine="0"/>
        <w:jc w:val="left"/>
        <w:rPr>
          <w:sz w:val="22"/>
        </w:rPr>
      </w:pPr>
      <w:r>
        <w:rPr>
          <w:sz w:val="22"/>
        </w:rPr>
        <w:t>Tyree</w:t>
      </w:r>
      <w:r>
        <w:rPr>
          <w:spacing w:val="-7"/>
          <w:sz w:val="22"/>
        </w:rPr>
        <w:t> </w:t>
      </w:r>
      <w:r>
        <w:rPr>
          <w:sz w:val="22"/>
        </w:rPr>
        <w:t>Wilde</w:t>
        <w:tab/>
        <w:t>Warning Coordination</w:t>
      </w:r>
      <w:r>
        <w:rPr>
          <w:spacing w:val="1"/>
          <w:sz w:val="22"/>
        </w:rPr>
        <w:t> </w:t>
      </w:r>
      <w:r>
        <w:rPr>
          <w:sz w:val="22"/>
        </w:rPr>
        <w:t>Meteorologist</w:t>
      </w:r>
    </w:p>
    <w:p>
      <w:pPr>
        <w:pStyle w:val="BodyText"/>
        <w:spacing w:before="9"/>
        <w:rPr>
          <w:sz w:val="21"/>
        </w:rPr>
      </w:pPr>
    </w:p>
    <w:p>
      <w:pPr>
        <w:tabs>
          <w:tab w:pos="3879" w:val="left" w:leader="none"/>
        </w:tabs>
        <w:spacing w:before="0"/>
        <w:ind w:left="1719" w:right="3277" w:hanging="1"/>
        <w:jc w:val="left"/>
        <w:rPr>
          <w:sz w:val="22"/>
        </w:rPr>
      </w:pPr>
      <w:r>
        <w:rPr>
          <w:sz w:val="22"/>
        </w:rPr>
        <w:t>Scott</w:t>
      </w:r>
      <w:r>
        <w:rPr>
          <w:spacing w:val="-5"/>
          <w:sz w:val="22"/>
        </w:rPr>
        <w:t> </w:t>
      </w:r>
      <w:r>
        <w:rPr>
          <w:sz w:val="22"/>
        </w:rPr>
        <w:t>Weishaar</w:t>
        <w:tab/>
        <w:t>Fire Weather Program Leader, IMET Shawn</w:t>
      </w:r>
      <w:r>
        <w:rPr>
          <w:spacing w:val="-4"/>
          <w:sz w:val="22"/>
        </w:rPr>
        <w:t> </w:t>
      </w:r>
      <w:r>
        <w:rPr>
          <w:sz w:val="22"/>
        </w:rPr>
        <w:t>Weagle</w:t>
        <w:tab/>
        <w:t>Asst. Fire Weather Program Leader, IMET Jon</w:t>
      </w:r>
      <w:r>
        <w:rPr>
          <w:spacing w:val="-1"/>
          <w:sz w:val="22"/>
        </w:rPr>
        <w:t> </w:t>
      </w:r>
      <w:r>
        <w:rPr>
          <w:sz w:val="22"/>
        </w:rPr>
        <w:t>Bonk</w:t>
        <w:tab/>
        <w:t>Fire Weather Forecaster,</w:t>
      </w:r>
      <w:r>
        <w:rPr>
          <w:spacing w:val="-6"/>
          <w:sz w:val="22"/>
        </w:rPr>
        <w:t> </w:t>
      </w:r>
      <w:r>
        <w:rPr>
          <w:sz w:val="22"/>
        </w:rPr>
        <w:t>IMET</w:t>
      </w:r>
    </w:p>
    <w:p>
      <w:pPr>
        <w:pStyle w:val="BodyText"/>
        <w:spacing w:before="10"/>
        <w:rPr>
          <w:sz w:val="21"/>
        </w:rPr>
      </w:pPr>
    </w:p>
    <w:p>
      <w:pPr>
        <w:spacing w:before="0"/>
        <w:ind w:left="1000" w:right="0" w:firstLine="0"/>
        <w:jc w:val="left"/>
        <w:rPr>
          <w:b/>
          <w:sz w:val="22"/>
        </w:rPr>
      </w:pPr>
      <w:r>
        <w:rPr>
          <w:b/>
          <w:sz w:val="22"/>
        </w:rPr>
        <w:t>CONTACT</w:t>
      </w:r>
    </w:p>
    <w:p>
      <w:pPr>
        <w:pStyle w:val="BodyText"/>
        <w:spacing w:before="9"/>
        <w:rPr>
          <w:b/>
          <w:sz w:val="22"/>
        </w:rPr>
      </w:pPr>
    </w:p>
    <w:tbl>
      <w:tblPr>
        <w:tblW w:w="0" w:type="auto"/>
        <w:jc w:val="left"/>
        <w:tblInd w:w="1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2"/>
        <w:gridCol w:w="1652"/>
      </w:tblGrid>
      <w:tr>
        <w:trPr>
          <w:trHeight w:val="376" w:hRule="atLeast"/>
        </w:trPr>
        <w:tc>
          <w:tcPr>
            <w:tcW w:w="2702" w:type="dxa"/>
          </w:tcPr>
          <w:p>
            <w:pPr>
              <w:pStyle w:val="TableParagraph"/>
              <w:spacing w:line="247" w:lineRule="exact"/>
              <w:ind w:left="50"/>
              <w:rPr>
                <w:sz w:val="22"/>
              </w:rPr>
            </w:pPr>
            <w:r>
              <w:rPr>
                <w:sz w:val="22"/>
              </w:rPr>
              <w:t>Telephone</w:t>
            </w:r>
          </w:p>
        </w:tc>
        <w:tc>
          <w:tcPr>
            <w:tcW w:w="1652" w:type="dxa"/>
          </w:tcPr>
          <w:p>
            <w:pPr>
              <w:pStyle w:val="TableParagraph"/>
              <w:rPr>
                <w:rFonts w:ascii="Times New Roman"/>
                <w:sz w:val="22"/>
              </w:rPr>
            </w:pPr>
          </w:p>
        </w:tc>
      </w:tr>
      <w:tr>
        <w:trPr>
          <w:trHeight w:val="379" w:hRule="atLeast"/>
        </w:trPr>
        <w:tc>
          <w:tcPr>
            <w:tcW w:w="2702" w:type="dxa"/>
          </w:tcPr>
          <w:p>
            <w:pPr>
              <w:pStyle w:val="TableParagraph"/>
              <w:spacing w:line="236" w:lineRule="exact" w:before="123"/>
              <w:ind w:left="50"/>
              <w:rPr>
                <w:sz w:val="22"/>
              </w:rPr>
            </w:pPr>
            <w:r>
              <w:rPr>
                <w:sz w:val="22"/>
              </w:rPr>
              <w:t>Fire Weather Desk</w:t>
            </w:r>
          </w:p>
        </w:tc>
        <w:tc>
          <w:tcPr>
            <w:tcW w:w="1652" w:type="dxa"/>
          </w:tcPr>
          <w:p>
            <w:pPr>
              <w:pStyle w:val="TableParagraph"/>
              <w:spacing w:line="236" w:lineRule="exact" w:before="123"/>
              <w:ind w:right="49"/>
              <w:jc w:val="right"/>
              <w:rPr>
                <w:sz w:val="22"/>
              </w:rPr>
            </w:pPr>
            <w:r>
              <w:rPr>
                <w:sz w:val="22"/>
              </w:rPr>
              <w:t>503-326-2420</w:t>
            </w:r>
          </w:p>
        </w:tc>
      </w:tr>
      <w:tr>
        <w:trPr>
          <w:trHeight w:val="251" w:hRule="atLeast"/>
        </w:trPr>
        <w:tc>
          <w:tcPr>
            <w:tcW w:w="2702" w:type="dxa"/>
          </w:tcPr>
          <w:p>
            <w:pPr>
              <w:pStyle w:val="TableParagraph"/>
              <w:spacing w:line="232" w:lineRule="exact"/>
              <w:ind w:left="50"/>
              <w:rPr>
                <w:sz w:val="22"/>
              </w:rPr>
            </w:pPr>
            <w:r>
              <w:rPr>
                <w:sz w:val="22"/>
              </w:rPr>
              <w:t>Lead Forecaster (24 hrs)</w:t>
            </w:r>
          </w:p>
        </w:tc>
        <w:tc>
          <w:tcPr>
            <w:tcW w:w="1652" w:type="dxa"/>
          </w:tcPr>
          <w:p>
            <w:pPr>
              <w:pStyle w:val="TableParagraph"/>
              <w:spacing w:line="232" w:lineRule="exact"/>
              <w:ind w:right="49"/>
              <w:jc w:val="right"/>
              <w:rPr>
                <w:sz w:val="22"/>
              </w:rPr>
            </w:pPr>
            <w:r>
              <w:rPr>
                <w:sz w:val="22"/>
              </w:rPr>
              <w:t>503-326-3720</w:t>
            </w:r>
          </w:p>
        </w:tc>
      </w:tr>
      <w:tr>
        <w:trPr>
          <w:trHeight w:val="249" w:hRule="atLeast"/>
        </w:trPr>
        <w:tc>
          <w:tcPr>
            <w:tcW w:w="2702" w:type="dxa"/>
          </w:tcPr>
          <w:p>
            <w:pPr>
              <w:pStyle w:val="TableParagraph"/>
              <w:spacing w:line="229" w:lineRule="exact"/>
              <w:ind w:left="50"/>
              <w:rPr>
                <w:sz w:val="22"/>
              </w:rPr>
            </w:pPr>
            <w:r>
              <w:rPr>
                <w:sz w:val="22"/>
              </w:rPr>
              <w:t>FAX</w:t>
            </w:r>
          </w:p>
        </w:tc>
        <w:tc>
          <w:tcPr>
            <w:tcW w:w="1652" w:type="dxa"/>
          </w:tcPr>
          <w:p>
            <w:pPr>
              <w:pStyle w:val="TableParagraph"/>
              <w:spacing w:line="229" w:lineRule="exact"/>
              <w:ind w:right="49"/>
              <w:jc w:val="right"/>
              <w:rPr>
                <w:sz w:val="22"/>
              </w:rPr>
            </w:pPr>
            <w:r>
              <w:rPr>
                <w:sz w:val="22"/>
              </w:rPr>
              <w:t>503-326-2598</w:t>
            </w:r>
          </w:p>
        </w:tc>
      </w:tr>
    </w:tbl>
    <w:p>
      <w:pPr>
        <w:pStyle w:val="BodyText"/>
        <w:rPr>
          <w:b/>
          <w:sz w:val="22"/>
        </w:rPr>
      </w:pPr>
    </w:p>
    <w:p>
      <w:pPr>
        <w:spacing w:before="0"/>
        <w:ind w:left="1720" w:right="0" w:firstLine="0"/>
        <w:jc w:val="left"/>
        <w:rPr>
          <w:sz w:val="22"/>
        </w:rPr>
      </w:pPr>
      <w:r>
        <w:rPr>
          <w:sz w:val="22"/>
        </w:rPr>
        <w:t>Internet:</w:t>
      </w:r>
      <w:r>
        <w:rPr>
          <w:spacing w:val="57"/>
          <w:sz w:val="22"/>
        </w:rPr>
        <w:t> </w:t>
      </w:r>
      <w:hyperlink r:id="rId80">
        <w:r>
          <w:rPr>
            <w:color w:val="0000FF"/>
            <w:sz w:val="22"/>
            <w:u w:val="single" w:color="0000FF"/>
          </w:rPr>
          <w:t>http://www.wrh.noaa.gov/fire2/?wfo=pqr</w:t>
        </w:r>
      </w:hyperlink>
    </w:p>
    <w:p>
      <w:pPr>
        <w:pStyle w:val="BodyText"/>
        <w:spacing w:before="1"/>
        <w:rPr>
          <w:sz w:val="14"/>
        </w:rPr>
      </w:pPr>
    </w:p>
    <w:p>
      <w:pPr>
        <w:spacing w:before="93"/>
        <w:ind w:left="1719" w:right="1347" w:firstLine="0"/>
        <w:jc w:val="left"/>
        <w:rPr>
          <w:sz w:val="22"/>
        </w:rPr>
      </w:pPr>
      <w:r>
        <w:rPr>
          <w:sz w:val="22"/>
        </w:rPr>
        <w:t>Facebook page: </w:t>
      </w:r>
      <w:hyperlink r:id="rId81">
        <w:r>
          <w:rPr>
            <w:color w:val="0000FF"/>
            <w:sz w:val="22"/>
            <w:u w:val="single" w:color="0000FF"/>
          </w:rPr>
          <w:t>http://www.facebook.com/US.NationalWeatherService.Portland.gov</w:t>
        </w:r>
      </w:hyperlink>
      <w:r>
        <w:rPr>
          <w:color w:val="0000FF"/>
          <w:sz w:val="22"/>
        </w:rPr>
        <w:t> </w:t>
      </w:r>
      <w:r>
        <w:rPr>
          <w:sz w:val="22"/>
        </w:rPr>
        <w:t>Office Twitter page: </w:t>
      </w:r>
      <w:hyperlink r:id="rId82">
        <w:r>
          <w:rPr>
            <w:color w:val="0000FF"/>
            <w:sz w:val="22"/>
            <w:u w:val="single" w:color="0000FF"/>
          </w:rPr>
          <w:t>https://www.twitter.com/NWSPortland</w:t>
        </w:r>
      </w:hyperlink>
    </w:p>
    <w:p>
      <w:pPr>
        <w:spacing w:before="1"/>
        <w:ind w:left="1719" w:right="0" w:firstLine="0"/>
        <w:jc w:val="left"/>
        <w:rPr>
          <w:sz w:val="22"/>
        </w:rPr>
      </w:pPr>
      <w:r>
        <w:rPr>
          <w:sz w:val="22"/>
        </w:rPr>
        <w:t>Twitter handle: @NWSPortland</w:t>
      </w:r>
    </w:p>
    <w:p>
      <w:pPr>
        <w:spacing w:after="0"/>
        <w:jc w:val="left"/>
        <w:rPr>
          <w:sz w:val="22"/>
        </w:rPr>
        <w:sectPr>
          <w:footerReference w:type="default" r:id="rId79"/>
          <w:pgSz w:w="12240" w:h="15840"/>
          <w:pgMar w:footer="968" w:header="0" w:top="1360" w:bottom="1160" w:left="340" w:right="620"/>
          <w:pgNumType w:start="49"/>
        </w:sectPr>
      </w:pPr>
    </w:p>
    <w:p>
      <w:pPr>
        <w:spacing w:before="110"/>
        <w:ind w:left="1719" w:right="7006" w:hanging="1"/>
        <w:jc w:val="left"/>
        <w:rPr>
          <w:sz w:val="22"/>
        </w:rPr>
      </w:pPr>
      <w:r>
        <w:rPr>
          <w:sz w:val="22"/>
        </w:rPr>
        <w:t>Email </w:t>
      </w:r>
      <w:hyperlink r:id="rId83">
        <w:r>
          <w:rPr>
            <w:color w:val="0000FF"/>
            <w:sz w:val="22"/>
            <w:u w:val="single" w:color="0000FF"/>
          </w:rPr>
          <w:t>scott.weishaar@noaa.gov</w:t>
        </w:r>
      </w:hyperlink>
      <w:r>
        <w:rPr>
          <w:color w:val="0000FF"/>
          <w:sz w:val="22"/>
        </w:rPr>
        <w:t> </w:t>
      </w:r>
      <w:hyperlink r:id="rId84">
        <w:r>
          <w:rPr>
            <w:color w:val="0000FF"/>
            <w:sz w:val="22"/>
            <w:u w:val="single" w:color="0000FF"/>
          </w:rPr>
          <w:t>shawn.weagle@noaa.gov</w:t>
        </w:r>
      </w:hyperlink>
    </w:p>
    <w:p>
      <w:pPr>
        <w:pStyle w:val="BodyText"/>
        <w:rPr>
          <w:sz w:val="20"/>
        </w:rPr>
      </w:pPr>
    </w:p>
    <w:p>
      <w:pPr>
        <w:pStyle w:val="BodyText"/>
        <w:spacing w:before="7"/>
        <w:rPr>
          <w:sz w:val="15"/>
        </w:rPr>
      </w:pPr>
    </w:p>
    <w:p>
      <w:pPr>
        <w:tabs>
          <w:tab w:pos="2438" w:val="left" w:leader="none"/>
        </w:tabs>
        <w:spacing w:before="94"/>
        <w:ind w:left="999" w:right="0" w:firstLine="0"/>
        <w:jc w:val="left"/>
        <w:rPr>
          <w:b/>
          <w:sz w:val="22"/>
        </w:rPr>
      </w:pPr>
      <w:bookmarkStart w:name="FORECAST DISTRICT" w:id="75"/>
      <w:bookmarkEnd w:id="75"/>
      <w:r>
        <w:rPr/>
      </w:r>
      <w:r>
        <w:rPr>
          <w:b/>
          <w:sz w:val="22"/>
        </w:rPr>
        <w:t>FORECAST</w:t>
        <w:tab/>
        <w:t>DISTRICT</w:t>
      </w:r>
    </w:p>
    <w:p>
      <w:pPr>
        <w:pStyle w:val="BodyText"/>
        <w:spacing w:before="3"/>
        <w:rPr>
          <w:b/>
          <w:sz w:val="22"/>
        </w:rPr>
      </w:pPr>
    </w:p>
    <w:p>
      <w:pPr>
        <w:spacing w:before="0"/>
        <w:ind w:left="998" w:right="857" w:firstLine="0"/>
        <w:jc w:val="left"/>
        <w:rPr>
          <w:sz w:val="22"/>
        </w:rPr>
      </w:pPr>
      <w:r>
        <w:rPr>
          <w:sz w:val="22"/>
        </w:rPr>
        <w:t>Portland services Oregon fire weather zones 601-608 and 612. Portland also covers Washington fire weather zones 663-665, and 667. This area covers:</w:t>
      </w:r>
    </w:p>
    <w:p>
      <w:pPr>
        <w:pStyle w:val="BodyText"/>
        <w:spacing w:before="10"/>
        <w:rPr>
          <w:sz w:val="21"/>
        </w:rPr>
      </w:pPr>
    </w:p>
    <w:p>
      <w:pPr>
        <w:spacing w:before="1"/>
        <w:ind w:left="998" w:right="738" w:firstLine="0"/>
        <w:jc w:val="both"/>
        <w:rPr>
          <w:sz w:val="22"/>
        </w:rPr>
      </w:pPr>
      <w:r>
        <w:rPr>
          <w:sz w:val="22"/>
        </w:rPr>
        <w:t>Northwest Oregon and Southwest Washington, North Oregon Cascades including the Columbia River Gorge (to about Hood River). South Washington Cascades and adjacent lowlands of Clark County.</w:t>
      </w:r>
    </w:p>
    <w:p>
      <w:pPr>
        <w:pStyle w:val="BodyText"/>
        <w:rPr>
          <w:sz w:val="22"/>
        </w:rPr>
      </w:pPr>
    </w:p>
    <w:p>
      <w:pPr>
        <w:spacing w:before="0"/>
        <w:ind w:left="998" w:right="0" w:firstLine="0"/>
        <w:jc w:val="left"/>
        <w:rPr>
          <w:sz w:val="22"/>
        </w:rPr>
      </w:pPr>
      <w:r>
        <w:rPr>
          <w:sz w:val="22"/>
        </w:rPr>
        <w:t>See the attached map for a graphic description of individual areas/zones of the Portland district.</w:t>
      </w:r>
    </w:p>
    <w:p>
      <w:pPr>
        <w:pStyle w:val="BodyText"/>
      </w:pPr>
    </w:p>
    <w:p>
      <w:pPr>
        <w:pStyle w:val="BodyText"/>
        <w:spacing w:before="8"/>
        <w:rPr>
          <w:sz w:val="19"/>
        </w:rPr>
      </w:pPr>
    </w:p>
    <w:p>
      <w:pPr>
        <w:spacing w:before="1"/>
        <w:ind w:left="998" w:right="0" w:firstLine="0"/>
        <w:jc w:val="left"/>
        <w:rPr>
          <w:b/>
          <w:sz w:val="22"/>
        </w:rPr>
      </w:pPr>
      <w:r>
        <w:rPr>
          <w:b/>
          <w:sz w:val="22"/>
        </w:rPr>
        <w:t>AGENCIES SERVED</w:t>
      </w:r>
    </w:p>
    <w:p>
      <w:pPr>
        <w:pStyle w:val="BodyText"/>
        <w:spacing w:before="2"/>
        <w:rPr>
          <w:b/>
          <w:sz w:val="22"/>
        </w:rPr>
      </w:pPr>
    </w:p>
    <w:p>
      <w:pPr>
        <w:spacing w:line="252" w:lineRule="exact" w:before="0"/>
        <w:ind w:left="998" w:right="0" w:firstLine="0"/>
        <w:jc w:val="left"/>
        <w:rPr>
          <w:sz w:val="22"/>
        </w:rPr>
      </w:pPr>
      <w:r>
        <w:rPr>
          <w:sz w:val="22"/>
        </w:rPr>
        <w:t>U.S. Forest Service (USFS)</w:t>
      </w:r>
    </w:p>
    <w:p>
      <w:pPr>
        <w:pStyle w:val="ListParagraph"/>
        <w:numPr>
          <w:ilvl w:val="1"/>
          <w:numId w:val="11"/>
        </w:numPr>
        <w:tabs>
          <w:tab w:pos="1492" w:val="left" w:leader="none"/>
        </w:tabs>
        <w:spacing w:line="240" w:lineRule="auto" w:before="0" w:after="0"/>
        <w:ind w:left="998" w:right="6279" w:firstLine="0"/>
        <w:jc w:val="left"/>
        <w:rPr>
          <w:sz w:val="22"/>
        </w:rPr>
      </w:pPr>
      <w:r>
        <w:rPr>
          <w:sz w:val="22"/>
        </w:rPr>
        <w:t>Bureau of Land Management</w:t>
      </w:r>
      <w:r>
        <w:rPr>
          <w:spacing w:val="-14"/>
          <w:sz w:val="22"/>
        </w:rPr>
        <w:t> </w:t>
      </w:r>
      <w:r>
        <w:rPr>
          <w:sz w:val="22"/>
        </w:rPr>
        <w:t>(BLM) Oregon Department of Forestry</w:t>
      </w:r>
      <w:r>
        <w:rPr>
          <w:spacing w:val="-7"/>
          <w:sz w:val="22"/>
        </w:rPr>
        <w:t> </w:t>
      </w:r>
      <w:r>
        <w:rPr>
          <w:sz w:val="22"/>
        </w:rPr>
        <w:t>(ODF)</w:t>
      </w:r>
    </w:p>
    <w:p>
      <w:pPr>
        <w:spacing w:before="0"/>
        <w:ind w:left="998" w:right="4870" w:firstLine="0"/>
        <w:jc w:val="left"/>
        <w:rPr>
          <w:sz w:val="22"/>
        </w:rPr>
      </w:pPr>
      <w:r>
        <w:rPr>
          <w:sz w:val="22"/>
        </w:rPr>
        <w:t>Washington Department of Natural Resources (WDNR) Various urban and rural local fire districts</w:t>
      </w:r>
    </w:p>
    <w:p>
      <w:pPr>
        <w:pStyle w:val="BodyText"/>
      </w:pPr>
    </w:p>
    <w:p>
      <w:pPr>
        <w:pStyle w:val="BodyText"/>
        <w:spacing w:before="10"/>
        <w:rPr>
          <w:sz w:val="19"/>
        </w:rPr>
      </w:pPr>
    </w:p>
    <w:p>
      <w:pPr>
        <w:spacing w:before="0"/>
        <w:ind w:left="998" w:right="0" w:firstLine="0"/>
        <w:jc w:val="left"/>
        <w:rPr>
          <w:b/>
          <w:sz w:val="22"/>
        </w:rPr>
      </w:pPr>
      <w:r>
        <w:rPr>
          <w:b/>
          <w:sz w:val="22"/>
        </w:rPr>
        <w:t>FORECAST SERVICES</w:t>
      </w:r>
    </w:p>
    <w:p>
      <w:pPr>
        <w:pStyle w:val="BodyText"/>
        <w:rPr>
          <w:b/>
        </w:rPr>
      </w:pPr>
    </w:p>
    <w:p>
      <w:pPr>
        <w:pStyle w:val="BodyText"/>
        <w:rPr>
          <w:b/>
          <w:sz w:val="20"/>
        </w:rPr>
      </w:pPr>
    </w:p>
    <w:p>
      <w:pPr>
        <w:pStyle w:val="ListParagraph"/>
        <w:numPr>
          <w:ilvl w:val="2"/>
          <w:numId w:val="11"/>
        </w:numPr>
        <w:tabs>
          <w:tab w:pos="1720" w:val="left" w:leader="none"/>
        </w:tabs>
        <w:spacing w:line="240" w:lineRule="auto" w:before="1" w:after="0"/>
        <w:ind w:left="1719" w:right="0" w:hanging="360"/>
        <w:jc w:val="left"/>
        <w:rPr>
          <w:b/>
          <w:sz w:val="22"/>
        </w:rPr>
      </w:pPr>
      <w:r>
        <w:rPr>
          <w:b/>
          <w:sz w:val="22"/>
          <w:u w:val="thick"/>
        </w:rPr>
        <w:t>FIRE WEATHER GRIDS</w:t>
      </w:r>
    </w:p>
    <w:p>
      <w:pPr>
        <w:pStyle w:val="BodyText"/>
        <w:spacing w:before="1"/>
        <w:rPr>
          <w:b/>
          <w:sz w:val="14"/>
        </w:rPr>
      </w:pPr>
    </w:p>
    <w:p>
      <w:pPr>
        <w:spacing w:before="93"/>
        <w:ind w:left="1359" w:right="2735" w:firstLine="0"/>
        <w:jc w:val="left"/>
        <w:rPr>
          <w:sz w:val="22"/>
        </w:rPr>
      </w:pPr>
      <w:bookmarkStart w:name="Fire Weather grids from the Portland Fir" w:id="76"/>
      <w:bookmarkEnd w:id="76"/>
      <w:r>
        <w:rPr/>
      </w:r>
      <w:bookmarkStart w:name="22TUhttp://digital.weather.govU22T" w:id="77"/>
      <w:bookmarkEnd w:id="77"/>
      <w:r>
        <w:rPr/>
      </w:r>
      <w:r>
        <w:rPr>
          <w:sz w:val="22"/>
        </w:rPr>
        <w:t>Fire Weather grids from the Portland Fire Weather Office can be found at: </w:t>
      </w:r>
      <w:hyperlink r:id="rId85">
        <w:r>
          <w:rPr>
            <w:color w:val="0000FF"/>
            <w:sz w:val="22"/>
            <w:u w:val="single" w:color="0000FF"/>
          </w:rPr>
          <w:t>http://digital.weather.gov</w:t>
        </w:r>
      </w:hyperlink>
    </w:p>
    <w:p>
      <w:pPr>
        <w:pStyle w:val="BodyText"/>
        <w:rPr>
          <w:sz w:val="20"/>
        </w:rPr>
      </w:pPr>
    </w:p>
    <w:p>
      <w:pPr>
        <w:pStyle w:val="BodyText"/>
        <w:spacing w:before="8"/>
        <w:rPr>
          <w:sz w:val="23"/>
        </w:rPr>
      </w:pPr>
    </w:p>
    <w:p>
      <w:pPr>
        <w:pStyle w:val="ListParagraph"/>
        <w:numPr>
          <w:ilvl w:val="2"/>
          <w:numId w:val="11"/>
        </w:numPr>
        <w:tabs>
          <w:tab w:pos="1720" w:val="left" w:leader="none"/>
        </w:tabs>
        <w:spacing w:line="240" w:lineRule="auto" w:before="0" w:after="0"/>
        <w:ind w:left="1719" w:right="0" w:hanging="360"/>
        <w:jc w:val="left"/>
        <w:rPr>
          <w:b/>
          <w:sz w:val="22"/>
        </w:rPr>
      </w:pPr>
      <w:r>
        <w:rPr>
          <w:b/>
          <w:sz w:val="22"/>
          <w:u w:val="thick"/>
        </w:rPr>
        <w:t>RED FLAG WARNING/FIRE WEATHER</w:t>
      </w:r>
      <w:r>
        <w:rPr>
          <w:b/>
          <w:spacing w:val="0"/>
          <w:sz w:val="22"/>
          <w:u w:val="thick"/>
        </w:rPr>
        <w:t> </w:t>
      </w:r>
      <w:r>
        <w:rPr>
          <w:b/>
          <w:sz w:val="22"/>
          <w:u w:val="thick"/>
        </w:rPr>
        <w:t>WATCH</w:t>
      </w:r>
    </w:p>
    <w:p>
      <w:pPr>
        <w:pStyle w:val="BodyText"/>
        <w:rPr>
          <w:b/>
          <w:sz w:val="20"/>
        </w:rPr>
      </w:pPr>
    </w:p>
    <w:p>
      <w:pPr>
        <w:pStyle w:val="BodyText"/>
        <w:spacing w:before="3"/>
        <w:rPr>
          <w:b/>
          <w:sz w:val="16"/>
        </w:rPr>
      </w:pPr>
    </w:p>
    <w:p>
      <w:pPr>
        <w:spacing w:before="93"/>
        <w:ind w:left="999" w:right="736" w:firstLine="0"/>
        <w:jc w:val="both"/>
        <w:rPr>
          <w:sz w:val="22"/>
        </w:rPr>
      </w:pPr>
      <w:r>
        <w:rPr>
          <w:sz w:val="22"/>
        </w:rPr>
        <w:t>Fuels must be critically dry and fire danger moderate to high before a Red Flag Warning or Fire Weather Watch is issued from the Portland office. Evaluations of fuel conditions will be made in accordance with current NFDRS Energy Release Component (ERC) values and in consultation with fire managers.</w:t>
      </w:r>
    </w:p>
    <w:p>
      <w:pPr>
        <w:pStyle w:val="BodyText"/>
      </w:pPr>
    </w:p>
    <w:p>
      <w:pPr>
        <w:pStyle w:val="BodyText"/>
        <w:spacing w:before="8"/>
        <w:rPr>
          <w:sz w:val="19"/>
        </w:rPr>
      </w:pPr>
    </w:p>
    <w:p>
      <w:pPr>
        <w:spacing w:before="0"/>
        <w:ind w:left="999" w:right="0" w:firstLine="0"/>
        <w:jc w:val="left"/>
        <w:rPr>
          <w:b/>
          <w:sz w:val="22"/>
        </w:rPr>
      </w:pPr>
      <w:r>
        <w:rPr>
          <w:b/>
          <w:sz w:val="22"/>
        </w:rPr>
        <w:t>FUELS STATUS DETERMINATION</w:t>
      </w:r>
    </w:p>
    <w:p>
      <w:pPr>
        <w:pStyle w:val="BodyText"/>
        <w:spacing w:before="2"/>
        <w:rPr>
          <w:b/>
          <w:sz w:val="22"/>
        </w:rPr>
      </w:pPr>
    </w:p>
    <w:p>
      <w:pPr>
        <w:spacing w:before="1"/>
        <w:ind w:left="999" w:right="738" w:firstLine="0"/>
        <w:jc w:val="both"/>
        <w:rPr>
          <w:sz w:val="22"/>
        </w:rPr>
      </w:pPr>
      <w:r>
        <w:rPr>
          <w:sz w:val="22"/>
        </w:rPr>
        <w:t>Since 2015, NWCC no longer produces 7-day Dryness Level forecasts. Instead, NWCC will issue a 7-day Significant Fire Potential or Overall Fire Environment forecast. The Overall Fire Environment includes the former Dryness Level inputs, but also incorporates stability, wind and forecast lightning amounts. Thus, another objective means to determine fuel availability had to be determined.</w:t>
      </w:r>
    </w:p>
    <w:p>
      <w:pPr>
        <w:spacing w:after="0"/>
        <w:jc w:val="both"/>
        <w:rPr>
          <w:sz w:val="22"/>
        </w:rPr>
        <w:sectPr>
          <w:pgSz w:w="12240" w:h="15840"/>
          <w:pgMar w:header="0" w:footer="968" w:top="1500" w:bottom="1240" w:left="340" w:right="620"/>
        </w:sectPr>
      </w:pPr>
    </w:p>
    <w:p>
      <w:pPr>
        <w:spacing w:before="110"/>
        <w:ind w:left="999" w:right="736" w:firstLine="0"/>
        <w:jc w:val="both"/>
        <w:rPr>
          <w:sz w:val="22"/>
        </w:rPr>
      </w:pPr>
      <w:r>
        <w:rPr>
          <w:sz w:val="22"/>
        </w:rPr>
        <w:t>The Portland Forecast Office will continue to experiment with a concept similar to the NWCC Dryness Levels, using zone-average ERC percentiles. The ERC values for all RAWS sites within the Portland Fire weather area will be evaluated daily, and then an overall zone color-code assigned: For a YELLOW or BROWN zone designation, one-half or more RAWS within a zone must have an individual ERC value at or above the 71</w:t>
      </w:r>
      <w:r>
        <w:rPr>
          <w:sz w:val="22"/>
          <w:vertAlign w:val="superscript"/>
        </w:rPr>
        <w:t>st</w:t>
      </w:r>
      <w:r>
        <w:rPr>
          <w:sz w:val="22"/>
          <w:vertAlign w:val="baseline"/>
        </w:rPr>
        <w:t> percentile.</w:t>
      </w:r>
    </w:p>
    <w:p>
      <w:pPr>
        <w:pStyle w:val="BodyText"/>
        <w:spacing w:before="10"/>
        <w:rPr>
          <w:sz w:val="21"/>
        </w:rPr>
      </w:pPr>
    </w:p>
    <w:p>
      <w:pPr>
        <w:spacing w:line="253" w:lineRule="exact" w:before="0"/>
        <w:ind w:left="3547" w:right="0" w:firstLine="0"/>
        <w:jc w:val="left"/>
        <w:rPr>
          <w:b/>
          <w:sz w:val="22"/>
        </w:rPr>
      </w:pPr>
      <w:r>
        <w:rPr>
          <w:b/>
          <w:sz w:val="22"/>
        </w:rPr>
        <w:t>70</w:t>
      </w:r>
      <w:r>
        <w:rPr>
          <w:b/>
          <w:sz w:val="22"/>
          <w:vertAlign w:val="superscript"/>
        </w:rPr>
        <w:t>th</w:t>
      </w:r>
      <w:r>
        <w:rPr>
          <w:b/>
          <w:sz w:val="22"/>
          <w:vertAlign w:val="baseline"/>
        </w:rPr>
        <w:t> PERCENTILE VALUE or less = </w:t>
      </w:r>
      <w:r>
        <w:rPr>
          <w:b/>
          <w:color w:val="00B050"/>
          <w:sz w:val="22"/>
          <w:vertAlign w:val="baseline"/>
        </w:rPr>
        <w:t>GREEN</w:t>
      </w:r>
    </w:p>
    <w:p>
      <w:pPr>
        <w:spacing w:line="252" w:lineRule="exact" w:before="0"/>
        <w:ind w:left="3526" w:right="0" w:firstLine="0"/>
        <w:jc w:val="left"/>
        <w:rPr>
          <w:b/>
          <w:sz w:val="22"/>
        </w:rPr>
      </w:pPr>
      <w:r>
        <w:rPr>
          <w:b/>
          <w:sz w:val="22"/>
        </w:rPr>
        <w:t>71</w:t>
      </w:r>
      <w:r>
        <w:rPr>
          <w:b/>
          <w:sz w:val="22"/>
          <w:vertAlign w:val="superscript"/>
        </w:rPr>
        <w:t>st</w:t>
      </w:r>
      <w:r>
        <w:rPr>
          <w:b/>
          <w:sz w:val="22"/>
          <w:vertAlign w:val="baseline"/>
        </w:rPr>
        <w:t> – 79</w:t>
      </w:r>
      <w:r>
        <w:rPr>
          <w:b/>
          <w:sz w:val="22"/>
          <w:vertAlign w:val="superscript"/>
        </w:rPr>
        <w:t>th</w:t>
      </w:r>
      <w:r>
        <w:rPr>
          <w:b/>
          <w:sz w:val="22"/>
          <w:vertAlign w:val="baseline"/>
        </w:rPr>
        <w:t> PERCENTILE VALUE = </w:t>
      </w:r>
      <w:r>
        <w:rPr>
          <w:b/>
          <w:color w:val="FFFF00"/>
          <w:sz w:val="22"/>
          <w:shd w:fill="00008B" w:color="auto" w:val="clear"/>
          <w:vertAlign w:val="baseline"/>
        </w:rPr>
        <w:t>YELLOW</w:t>
      </w:r>
    </w:p>
    <w:p>
      <w:pPr>
        <w:spacing w:line="252" w:lineRule="exact" w:before="0"/>
        <w:ind w:left="3766" w:right="0" w:firstLine="0"/>
        <w:jc w:val="left"/>
        <w:rPr>
          <w:b/>
          <w:sz w:val="22"/>
        </w:rPr>
      </w:pPr>
      <w:r>
        <w:rPr>
          <w:b/>
          <w:sz w:val="22"/>
        </w:rPr>
        <w:t>80</w:t>
      </w:r>
      <w:r>
        <w:rPr>
          <w:b/>
          <w:sz w:val="22"/>
          <w:vertAlign w:val="superscript"/>
        </w:rPr>
        <w:t>th</w:t>
      </w:r>
      <w:r>
        <w:rPr>
          <w:b/>
          <w:sz w:val="22"/>
          <w:vertAlign w:val="baseline"/>
        </w:rPr>
        <w:t> PERCENTILE or greater = </w:t>
      </w:r>
      <w:r>
        <w:rPr>
          <w:b/>
          <w:color w:val="984806"/>
          <w:sz w:val="22"/>
          <w:vertAlign w:val="baseline"/>
        </w:rPr>
        <w:t>BROWN</w:t>
      </w:r>
    </w:p>
    <w:p>
      <w:pPr>
        <w:pStyle w:val="BodyText"/>
        <w:spacing w:before="3"/>
        <w:rPr>
          <w:b/>
          <w:sz w:val="22"/>
        </w:rPr>
      </w:pPr>
    </w:p>
    <w:p>
      <w:pPr>
        <w:spacing w:before="0"/>
        <w:ind w:left="999" w:right="739" w:firstLine="0"/>
        <w:jc w:val="both"/>
        <w:rPr>
          <w:sz w:val="22"/>
        </w:rPr>
      </w:pPr>
      <w:r>
        <w:rPr>
          <w:sz w:val="22"/>
        </w:rPr>
        <w:t>Assuming these conditions are met, Fire Weather Watches and Red Flag Warnings are issued for the following events:</w:t>
      </w:r>
    </w:p>
    <w:p>
      <w:pPr>
        <w:pStyle w:val="BodyText"/>
      </w:pPr>
    </w:p>
    <w:p>
      <w:pPr>
        <w:pStyle w:val="ListParagraph"/>
        <w:numPr>
          <w:ilvl w:val="3"/>
          <w:numId w:val="11"/>
        </w:numPr>
        <w:tabs>
          <w:tab w:pos="1991" w:val="left" w:leader="none"/>
        </w:tabs>
        <w:spacing w:line="240" w:lineRule="auto" w:before="214" w:after="0"/>
        <w:ind w:left="1990" w:right="0" w:hanging="360"/>
        <w:jc w:val="left"/>
        <w:rPr>
          <w:b/>
          <w:sz w:val="22"/>
        </w:rPr>
      </w:pPr>
      <w:r>
        <w:rPr>
          <w:b/>
          <w:sz w:val="22"/>
        </w:rPr>
        <w:t>COMBINATION OF WIND </w:t>
      </w:r>
      <w:r>
        <w:rPr>
          <w:b/>
          <w:spacing w:val="-3"/>
          <w:sz w:val="22"/>
        </w:rPr>
        <w:t>AND </w:t>
      </w:r>
      <w:r>
        <w:rPr>
          <w:b/>
          <w:sz w:val="22"/>
        </w:rPr>
        <w:t>LOW</w:t>
      </w:r>
      <w:r>
        <w:rPr>
          <w:b/>
          <w:spacing w:val="2"/>
          <w:sz w:val="22"/>
        </w:rPr>
        <w:t> </w:t>
      </w:r>
      <w:r>
        <w:rPr>
          <w:b/>
          <w:sz w:val="22"/>
        </w:rPr>
        <w:t>HUMIDITY</w:t>
      </w:r>
    </w:p>
    <w:p>
      <w:pPr>
        <w:pStyle w:val="BodyText"/>
        <w:spacing w:before="9"/>
        <w:rPr>
          <w:b/>
          <w:sz w:val="21"/>
        </w:rPr>
      </w:pPr>
    </w:p>
    <w:p>
      <w:pPr>
        <w:spacing w:line="244" w:lineRule="auto" w:before="1"/>
        <w:ind w:left="2078" w:right="743" w:firstLine="0"/>
        <w:jc w:val="left"/>
        <w:rPr>
          <w:sz w:val="22"/>
        </w:rPr>
      </w:pPr>
      <w:r>
        <w:rPr>
          <w:sz w:val="22"/>
        </w:rPr>
        <w:t>Daytime: RH 25% or less </w:t>
      </w:r>
      <w:r>
        <w:rPr>
          <w:b/>
          <w:sz w:val="22"/>
        </w:rPr>
        <w:t>AND </w:t>
      </w:r>
      <w:r>
        <w:rPr>
          <w:sz w:val="22"/>
        </w:rPr>
        <w:t>10-minute wind speed 10 mph AND/OR frequent gusts to 20 mph or more for 4 hours.</w:t>
      </w:r>
    </w:p>
    <w:p>
      <w:pPr>
        <w:pStyle w:val="BodyText"/>
        <w:spacing w:before="2"/>
        <w:rPr>
          <w:sz w:val="21"/>
        </w:rPr>
      </w:pPr>
    </w:p>
    <w:p>
      <w:pPr>
        <w:spacing w:before="1"/>
        <w:ind w:left="2078" w:right="907" w:firstLine="0"/>
        <w:jc w:val="left"/>
        <w:rPr>
          <w:sz w:val="22"/>
        </w:rPr>
      </w:pPr>
      <w:r>
        <w:rPr>
          <w:sz w:val="22"/>
        </w:rPr>
        <w:t>Night: RH 35% or less </w:t>
      </w:r>
      <w:r>
        <w:rPr>
          <w:b/>
          <w:sz w:val="22"/>
        </w:rPr>
        <w:t>AND </w:t>
      </w:r>
      <w:r>
        <w:rPr>
          <w:sz w:val="22"/>
        </w:rPr>
        <w:t>10-minute wind speed of 15 mph AND/OR gusts to 25 mph or more for 3</w:t>
      </w:r>
      <w:r>
        <w:rPr>
          <w:spacing w:val="-6"/>
          <w:sz w:val="22"/>
        </w:rPr>
        <w:t> </w:t>
      </w:r>
      <w:r>
        <w:rPr>
          <w:sz w:val="22"/>
        </w:rPr>
        <w:t>hours.</w:t>
      </w:r>
    </w:p>
    <w:p>
      <w:pPr>
        <w:pStyle w:val="BodyText"/>
        <w:spacing w:before="10"/>
        <w:rPr>
          <w:sz w:val="21"/>
        </w:rPr>
      </w:pPr>
    </w:p>
    <w:p>
      <w:pPr>
        <w:pStyle w:val="ListParagraph"/>
        <w:numPr>
          <w:ilvl w:val="3"/>
          <w:numId w:val="11"/>
        </w:numPr>
        <w:tabs>
          <w:tab w:pos="1990" w:val="left" w:leader="none"/>
        </w:tabs>
        <w:spacing w:line="240" w:lineRule="auto" w:before="0" w:after="0"/>
        <w:ind w:left="1989" w:right="0" w:hanging="359"/>
        <w:jc w:val="left"/>
        <w:rPr>
          <w:b/>
          <w:sz w:val="22"/>
        </w:rPr>
      </w:pPr>
      <w:r>
        <w:rPr>
          <w:b/>
          <w:sz w:val="22"/>
        </w:rPr>
        <w:t>DRY AND UNSTABLE AIR</w:t>
      </w:r>
      <w:r>
        <w:rPr>
          <w:b/>
          <w:spacing w:val="2"/>
          <w:sz w:val="22"/>
        </w:rPr>
        <w:t> </w:t>
      </w:r>
      <w:r>
        <w:rPr>
          <w:b/>
          <w:sz w:val="22"/>
        </w:rPr>
        <w:t>MASS</w:t>
      </w:r>
    </w:p>
    <w:p>
      <w:pPr>
        <w:pStyle w:val="BodyText"/>
        <w:spacing w:before="3"/>
        <w:rPr>
          <w:b/>
          <w:sz w:val="22"/>
        </w:rPr>
      </w:pPr>
    </w:p>
    <w:p>
      <w:pPr>
        <w:spacing w:before="0"/>
        <w:ind w:left="2078" w:right="0" w:firstLine="0"/>
        <w:jc w:val="left"/>
        <w:rPr>
          <w:sz w:val="22"/>
        </w:rPr>
      </w:pPr>
      <w:r>
        <w:rPr>
          <w:sz w:val="22"/>
        </w:rPr>
        <w:t>Mid and/or High level Haines 6, RH 25% or less, AND critical fuel conditions.</w:t>
      </w:r>
    </w:p>
    <w:p>
      <w:pPr>
        <w:pStyle w:val="BodyText"/>
        <w:spacing w:before="7"/>
        <w:rPr>
          <w:sz w:val="21"/>
        </w:rPr>
      </w:pPr>
    </w:p>
    <w:p>
      <w:pPr>
        <w:pStyle w:val="ListParagraph"/>
        <w:numPr>
          <w:ilvl w:val="3"/>
          <w:numId w:val="11"/>
        </w:numPr>
        <w:tabs>
          <w:tab w:pos="1990" w:val="left" w:leader="none"/>
        </w:tabs>
        <w:spacing w:line="240" w:lineRule="auto" w:before="0" w:after="0"/>
        <w:ind w:left="1989" w:right="0" w:hanging="360"/>
        <w:jc w:val="left"/>
        <w:rPr>
          <w:b/>
          <w:sz w:val="22"/>
        </w:rPr>
      </w:pPr>
      <w:r>
        <w:rPr>
          <w:b/>
          <w:sz w:val="22"/>
        </w:rPr>
        <w:t>LIGHTNING</w:t>
      </w:r>
    </w:p>
    <w:p>
      <w:pPr>
        <w:pStyle w:val="BodyText"/>
        <w:rPr>
          <w:b/>
          <w:sz w:val="22"/>
        </w:rPr>
      </w:pPr>
    </w:p>
    <w:p>
      <w:pPr>
        <w:spacing w:line="244" w:lineRule="auto" w:before="1"/>
        <w:ind w:left="2138" w:right="907" w:firstLine="0"/>
        <w:jc w:val="left"/>
        <w:rPr>
          <w:sz w:val="22"/>
        </w:rPr>
      </w:pPr>
      <w:r>
        <w:rPr>
          <w:sz w:val="22"/>
        </w:rPr>
        <w:t>Scattered thunderstorm coverage, critical fuels </w:t>
      </w:r>
      <w:r>
        <w:rPr>
          <w:b/>
          <w:sz w:val="22"/>
        </w:rPr>
        <w:t>AND </w:t>
      </w:r>
      <w:r>
        <w:rPr>
          <w:sz w:val="22"/>
        </w:rPr>
        <w:t>no appreciable change in fuel conditions after the event.</w:t>
      </w:r>
    </w:p>
    <w:p>
      <w:pPr>
        <w:pStyle w:val="BodyText"/>
      </w:pPr>
    </w:p>
    <w:p>
      <w:pPr>
        <w:pStyle w:val="BodyText"/>
        <w:spacing w:before="1"/>
        <w:rPr>
          <w:sz w:val="19"/>
        </w:rPr>
      </w:pPr>
    </w:p>
    <w:p>
      <w:pPr>
        <w:spacing w:before="1"/>
        <w:ind w:left="998" w:right="0" w:firstLine="0"/>
        <w:jc w:val="both"/>
        <w:rPr>
          <w:b/>
          <w:sz w:val="22"/>
        </w:rPr>
      </w:pPr>
      <w:bookmarkStart w:name="RED FLAG VERIFICATION" w:id="78"/>
      <w:bookmarkEnd w:id="78"/>
      <w:r>
        <w:rPr/>
      </w:r>
      <w:r>
        <w:rPr>
          <w:b/>
          <w:sz w:val="22"/>
        </w:rPr>
        <w:t>RED FLAG VERIFICATION</w:t>
      </w:r>
    </w:p>
    <w:p>
      <w:pPr>
        <w:pStyle w:val="BodyText"/>
        <w:spacing w:before="2"/>
        <w:rPr>
          <w:b/>
          <w:sz w:val="22"/>
        </w:rPr>
      </w:pPr>
    </w:p>
    <w:p>
      <w:pPr>
        <w:spacing w:before="0"/>
        <w:ind w:left="998" w:right="0" w:firstLine="0"/>
        <w:jc w:val="both"/>
        <w:rPr>
          <w:sz w:val="22"/>
        </w:rPr>
      </w:pPr>
      <w:r>
        <w:rPr>
          <w:sz w:val="22"/>
        </w:rPr>
        <w:t>Red Flag warnings will be verified using the following criteria:</w:t>
      </w:r>
    </w:p>
    <w:p>
      <w:pPr>
        <w:pStyle w:val="BodyText"/>
        <w:spacing w:before="7"/>
        <w:rPr>
          <w:sz w:val="21"/>
        </w:rPr>
      </w:pPr>
    </w:p>
    <w:p>
      <w:pPr>
        <w:pStyle w:val="ListParagraph"/>
        <w:numPr>
          <w:ilvl w:val="0"/>
          <w:numId w:val="12"/>
        </w:numPr>
        <w:tabs>
          <w:tab w:pos="1719" w:val="left" w:leader="none"/>
        </w:tabs>
        <w:spacing w:line="240" w:lineRule="auto" w:before="0" w:after="0"/>
        <w:ind w:left="1718" w:right="0" w:hanging="720"/>
        <w:jc w:val="both"/>
        <w:rPr>
          <w:b/>
          <w:sz w:val="22"/>
        </w:rPr>
      </w:pPr>
      <w:r>
        <w:rPr>
          <w:b/>
          <w:sz w:val="22"/>
        </w:rPr>
        <w:t>COMBINATION OF WIND </w:t>
      </w:r>
      <w:r>
        <w:rPr>
          <w:b/>
          <w:spacing w:val="-3"/>
          <w:sz w:val="22"/>
        </w:rPr>
        <w:t>AND </w:t>
      </w:r>
      <w:r>
        <w:rPr>
          <w:b/>
          <w:sz w:val="22"/>
        </w:rPr>
        <w:t>LOW</w:t>
      </w:r>
      <w:r>
        <w:rPr>
          <w:b/>
          <w:spacing w:val="2"/>
          <w:sz w:val="22"/>
        </w:rPr>
        <w:t> </w:t>
      </w:r>
      <w:r>
        <w:rPr>
          <w:b/>
          <w:sz w:val="22"/>
        </w:rPr>
        <w:t>HUMIDITY</w:t>
      </w:r>
    </w:p>
    <w:p>
      <w:pPr>
        <w:spacing w:before="4"/>
        <w:ind w:left="1718" w:right="0" w:firstLine="0"/>
        <w:jc w:val="both"/>
        <w:rPr>
          <w:b/>
          <w:i/>
          <w:sz w:val="22"/>
        </w:rPr>
      </w:pPr>
      <w:r>
        <w:rPr>
          <w:b/>
          <w:i/>
          <w:sz w:val="22"/>
        </w:rPr>
        <w:t>NIGHTTIME CRITERIA:</w:t>
      </w:r>
    </w:p>
    <w:p>
      <w:pPr>
        <w:pStyle w:val="BodyText"/>
        <w:spacing w:before="9"/>
        <w:rPr>
          <w:b/>
          <w:i/>
          <w:sz w:val="21"/>
        </w:rPr>
      </w:pPr>
    </w:p>
    <w:p>
      <w:pPr>
        <w:spacing w:line="242" w:lineRule="auto" w:before="1"/>
        <w:ind w:left="1718" w:right="737" w:firstLine="0"/>
        <w:jc w:val="both"/>
        <w:rPr>
          <w:sz w:val="22"/>
        </w:rPr>
      </w:pPr>
      <w:r>
        <w:rPr>
          <w:b/>
          <w:sz w:val="22"/>
        </w:rPr>
        <w:t>ZONES 601, 602, 664 </w:t>
      </w:r>
      <w:r>
        <w:rPr>
          <w:b/>
          <w:spacing w:val="-3"/>
          <w:sz w:val="22"/>
        </w:rPr>
        <w:t>AND </w:t>
      </w:r>
      <w:r>
        <w:rPr>
          <w:b/>
          <w:sz w:val="22"/>
        </w:rPr>
        <w:t>665</w:t>
      </w:r>
      <w:r>
        <w:rPr>
          <w:sz w:val="22"/>
        </w:rPr>
        <w:t>: Two stations (RAWS) must report 35% humidity or less </w:t>
      </w:r>
      <w:r>
        <w:rPr>
          <w:b/>
          <w:sz w:val="22"/>
        </w:rPr>
        <w:t>AND </w:t>
      </w:r>
      <w:r>
        <w:rPr>
          <w:sz w:val="22"/>
        </w:rPr>
        <w:t>10-minute wind speed of 10 mph </w:t>
      </w:r>
      <w:r>
        <w:rPr>
          <w:b/>
          <w:sz w:val="22"/>
        </w:rPr>
        <w:t>AND/OR </w:t>
      </w:r>
      <w:r>
        <w:rPr>
          <w:sz w:val="22"/>
        </w:rPr>
        <w:t>gusts to 20 mph or more for three hours in an 8-hour time block. </w:t>
      </w:r>
      <w:r>
        <w:rPr>
          <w:b/>
          <w:i/>
          <w:sz w:val="22"/>
        </w:rPr>
        <w:t>Key RAWS</w:t>
      </w:r>
      <w:r>
        <w:rPr>
          <w:sz w:val="22"/>
        </w:rPr>
        <w:t>: Cedar Creek, Rockhouse1, and South</w:t>
      </w:r>
      <w:r>
        <w:rPr>
          <w:spacing w:val="-14"/>
          <w:sz w:val="22"/>
        </w:rPr>
        <w:t> </w:t>
      </w:r>
      <w:r>
        <w:rPr>
          <w:sz w:val="22"/>
        </w:rPr>
        <w:t>Fork.</w:t>
      </w:r>
    </w:p>
    <w:p>
      <w:pPr>
        <w:pStyle w:val="BodyText"/>
        <w:spacing w:before="2"/>
        <w:rPr>
          <w:sz w:val="21"/>
        </w:rPr>
      </w:pPr>
    </w:p>
    <w:p>
      <w:pPr>
        <w:spacing w:before="0"/>
        <w:ind w:left="1718" w:right="740" w:firstLine="0"/>
        <w:jc w:val="both"/>
        <w:rPr>
          <w:sz w:val="22"/>
        </w:rPr>
      </w:pPr>
      <w:r>
        <w:rPr>
          <w:b/>
          <w:sz w:val="22"/>
        </w:rPr>
        <w:t>ZONES 603 </w:t>
      </w:r>
      <w:r>
        <w:rPr>
          <w:b/>
          <w:spacing w:val="-4"/>
          <w:sz w:val="22"/>
        </w:rPr>
        <w:t>AND </w:t>
      </w:r>
      <w:r>
        <w:rPr>
          <w:b/>
          <w:sz w:val="22"/>
        </w:rPr>
        <w:t>612</w:t>
      </w:r>
      <w:r>
        <w:rPr>
          <w:sz w:val="22"/>
        </w:rPr>
        <w:t>: Rockhouse1 RAWS reporting 35% humidity or less </w:t>
      </w:r>
      <w:r>
        <w:rPr>
          <w:b/>
          <w:spacing w:val="-4"/>
          <w:sz w:val="22"/>
        </w:rPr>
        <w:t>AND </w:t>
      </w:r>
      <w:r>
        <w:rPr>
          <w:sz w:val="22"/>
        </w:rPr>
        <w:t>10- minute wind speed of 15 mph </w:t>
      </w:r>
      <w:r>
        <w:rPr>
          <w:b/>
          <w:sz w:val="22"/>
        </w:rPr>
        <w:t>AND/OR </w:t>
      </w:r>
      <w:r>
        <w:rPr>
          <w:sz w:val="22"/>
        </w:rPr>
        <w:t>gusts to 25 mph or more for four hours in an 8- hour block </w:t>
      </w:r>
      <w:r>
        <w:rPr>
          <w:b/>
          <w:spacing w:val="-3"/>
          <w:sz w:val="22"/>
        </w:rPr>
        <w:t>AND </w:t>
      </w:r>
      <w:r>
        <w:rPr>
          <w:sz w:val="22"/>
        </w:rPr>
        <w:t>one other RAWS reporting 35% humidity or less </w:t>
      </w:r>
      <w:r>
        <w:rPr>
          <w:b/>
          <w:sz w:val="22"/>
        </w:rPr>
        <w:t>AND </w:t>
      </w:r>
      <w:r>
        <w:rPr>
          <w:sz w:val="22"/>
        </w:rPr>
        <w:t>10-minute wind speed of 10 mph </w:t>
      </w:r>
      <w:r>
        <w:rPr>
          <w:b/>
          <w:sz w:val="22"/>
        </w:rPr>
        <w:t>AND/OR </w:t>
      </w:r>
      <w:r>
        <w:rPr>
          <w:sz w:val="22"/>
        </w:rPr>
        <w:t>gusts to 20 mph or more for two hours</w:t>
      </w:r>
      <w:r>
        <w:rPr>
          <w:b/>
          <w:i/>
          <w:sz w:val="22"/>
        </w:rPr>
        <w:t>. Key RAWS</w:t>
      </w:r>
      <w:r>
        <w:rPr>
          <w:sz w:val="22"/>
        </w:rPr>
        <w:t>: Rockhouse1, Goodwin Peak, High Point, and Cannibal</w:t>
      </w:r>
      <w:r>
        <w:rPr>
          <w:spacing w:val="-3"/>
          <w:sz w:val="22"/>
        </w:rPr>
        <w:t> </w:t>
      </w:r>
      <w:r>
        <w:rPr>
          <w:sz w:val="22"/>
        </w:rPr>
        <w:t>Mountain.</w:t>
      </w:r>
    </w:p>
    <w:p>
      <w:pPr>
        <w:pStyle w:val="BodyText"/>
        <w:spacing w:before="1"/>
        <w:rPr>
          <w:sz w:val="22"/>
        </w:rPr>
      </w:pPr>
    </w:p>
    <w:p>
      <w:pPr>
        <w:spacing w:before="0"/>
        <w:ind w:left="1718" w:right="856" w:firstLine="0"/>
        <w:jc w:val="left"/>
        <w:rPr>
          <w:sz w:val="22"/>
        </w:rPr>
      </w:pPr>
      <w:r>
        <w:rPr>
          <w:b/>
          <w:sz w:val="22"/>
        </w:rPr>
        <w:t>ZONE 604 and 667</w:t>
      </w:r>
      <w:r>
        <w:rPr>
          <w:sz w:val="22"/>
        </w:rPr>
        <w:t>: Two stations (airports) must report 30% humidity or less </w:t>
      </w:r>
      <w:r>
        <w:rPr>
          <w:b/>
          <w:sz w:val="22"/>
        </w:rPr>
        <w:t>AND </w:t>
      </w:r>
      <w:r>
        <w:rPr>
          <w:sz w:val="22"/>
        </w:rPr>
        <w:t>2- minute wind speed of 15 mph </w:t>
      </w:r>
      <w:r>
        <w:rPr>
          <w:b/>
          <w:sz w:val="22"/>
        </w:rPr>
        <w:t>AND/OR </w:t>
      </w:r>
      <w:r>
        <w:rPr>
          <w:sz w:val="22"/>
        </w:rPr>
        <w:t>gusts to 25 mph or more for at least four hours in</w:t>
      </w:r>
    </w:p>
    <w:p>
      <w:pPr>
        <w:spacing w:after="0"/>
        <w:jc w:val="left"/>
        <w:rPr>
          <w:sz w:val="22"/>
        </w:rPr>
        <w:sectPr>
          <w:pgSz w:w="12240" w:h="15840"/>
          <w:pgMar w:header="0" w:footer="968" w:top="1500" w:bottom="1240" w:left="340" w:right="620"/>
        </w:sectPr>
      </w:pPr>
    </w:p>
    <w:p>
      <w:pPr>
        <w:spacing w:before="78"/>
        <w:ind w:left="1719" w:right="737" w:firstLine="0"/>
        <w:jc w:val="both"/>
        <w:rPr>
          <w:sz w:val="22"/>
        </w:rPr>
      </w:pPr>
      <w:r>
        <w:rPr>
          <w:sz w:val="22"/>
        </w:rPr>
        <w:t>an 8-hour block. Typically occurs in the north part of the valley</w:t>
      </w:r>
      <w:r>
        <w:rPr>
          <w:b/>
          <w:i/>
          <w:sz w:val="22"/>
        </w:rPr>
        <w:t>. Key STATIONS</w:t>
      </w:r>
      <w:r>
        <w:rPr>
          <w:sz w:val="22"/>
        </w:rPr>
        <w:t>: Troutdale, Portland, Vancouver, and</w:t>
      </w:r>
      <w:r>
        <w:rPr>
          <w:spacing w:val="0"/>
          <w:sz w:val="22"/>
        </w:rPr>
        <w:t> </w:t>
      </w:r>
      <w:r>
        <w:rPr>
          <w:sz w:val="22"/>
        </w:rPr>
        <w:t>Hillsboro.</w:t>
      </w:r>
    </w:p>
    <w:p>
      <w:pPr>
        <w:pStyle w:val="BodyText"/>
        <w:spacing w:before="8"/>
        <w:rPr>
          <w:sz w:val="21"/>
        </w:rPr>
      </w:pPr>
    </w:p>
    <w:p>
      <w:pPr>
        <w:spacing w:line="240" w:lineRule="auto" w:before="1"/>
        <w:ind w:left="1718" w:right="735" w:firstLine="0"/>
        <w:jc w:val="both"/>
        <w:rPr>
          <w:sz w:val="22"/>
        </w:rPr>
      </w:pPr>
      <w:r>
        <w:rPr>
          <w:b/>
          <w:sz w:val="22"/>
        </w:rPr>
        <w:t>ZONES 605, 607, AND 660</w:t>
      </w:r>
      <w:r>
        <w:rPr>
          <w:sz w:val="22"/>
        </w:rPr>
        <w:t>: One station (RAWS) must report 35% humidity or less </w:t>
      </w:r>
      <w:r>
        <w:rPr>
          <w:b/>
          <w:sz w:val="22"/>
        </w:rPr>
        <w:t>AND </w:t>
      </w:r>
      <w:r>
        <w:rPr>
          <w:sz w:val="22"/>
        </w:rPr>
        <w:t>10-minute wind speed of 10 mph </w:t>
      </w:r>
      <w:r>
        <w:rPr>
          <w:b/>
          <w:sz w:val="22"/>
        </w:rPr>
        <w:t>AND/OR </w:t>
      </w:r>
      <w:r>
        <w:rPr>
          <w:sz w:val="22"/>
        </w:rPr>
        <w:t>gusts to 20 mph or more for four hours in an 8- hour block, </w:t>
      </w:r>
      <w:r>
        <w:rPr>
          <w:b/>
          <w:sz w:val="22"/>
        </w:rPr>
        <w:t>AND </w:t>
      </w:r>
      <w:r>
        <w:rPr>
          <w:sz w:val="22"/>
        </w:rPr>
        <w:t>at least </w:t>
      </w:r>
      <w:r>
        <w:rPr>
          <w:b/>
          <w:sz w:val="22"/>
        </w:rPr>
        <w:t>TWO </w:t>
      </w:r>
      <w:r>
        <w:rPr>
          <w:sz w:val="22"/>
        </w:rPr>
        <w:t>other stations reporting 35% humidity or less </w:t>
      </w:r>
      <w:r>
        <w:rPr>
          <w:b/>
          <w:sz w:val="22"/>
        </w:rPr>
        <w:t>AND </w:t>
      </w:r>
      <w:r>
        <w:rPr>
          <w:sz w:val="22"/>
        </w:rPr>
        <w:t>10- minute wind of 10 mph </w:t>
      </w:r>
      <w:r>
        <w:rPr>
          <w:b/>
          <w:sz w:val="22"/>
        </w:rPr>
        <w:t>AND/OR </w:t>
      </w:r>
      <w:r>
        <w:rPr>
          <w:sz w:val="22"/>
        </w:rPr>
        <w:t>gusts to 20 mph for at least </w:t>
      </w:r>
      <w:r>
        <w:rPr>
          <w:b/>
          <w:sz w:val="22"/>
        </w:rPr>
        <w:t>TWO </w:t>
      </w:r>
      <w:r>
        <w:rPr>
          <w:sz w:val="22"/>
        </w:rPr>
        <w:t>hours. </w:t>
      </w:r>
      <w:r>
        <w:rPr>
          <w:b/>
          <w:sz w:val="22"/>
        </w:rPr>
        <w:t>Key RAWS</w:t>
      </w:r>
      <w:r>
        <w:rPr>
          <w:sz w:val="22"/>
        </w:rPr>
        <w:t>: Horse Creek, Log Creek, Wanderer’s Peak, Kosmos, Canyon Creek, Orr Creek, Elk Rock, and 3-Corner Rock. NOTE: Includes stations from zone 659.</w:t>
      </w:r>
    </w:p>
    <w:p>
      <w:pPr>
        <w:pStyle w:val="BodyText"/>
        <w:spacing w:before="11"/>
        <w:rPr>
          <w:sz w:val="21"/>
        </w:rPr>
      </w:pPr>
    </w:p>
    <w:p>
      <w:pPr>
        <w:spacing w:before="0"/>
        <w:ind w:left="1718" w:right="734" w:firstLine="0"/>
        <w:jc w:val="both"/>
        <w:rPr>
          <w:sz w:val="22"/>
        </w:rPr>
      </w:pPr>
      <w:r>
        <w:rPr>
          <w:b/>
          <w:sz w:val="22"/>
        </w:rPr>
        <w:t>ZONE 663</w:t>
      </w:r>
      <w:r>
        <w:rPr>
          <w:sz w:val="22"/>
        </w:rPr>
        <w:t>: Buck Creek RAWS must report 35% humidity or less </w:t>
      </w:r>
      <w:r>
        <w:rPr>
          <w:b/>
          <w:sz w:val="22"/>
        </w:rPr>
        <w:t>AND </w:t>
      </w:r>
      <w:r>
        <w:rPr>
          <w:sz w:val="22"/>
        </w:rPr>
        <w:t>10-minute wind speed of 10 mph </w:t>
      </w:r>
      <w:r>
        <w:rPr>
          <w:b/>
          <w:sz w:val="22"/>
        </w:rPr>
        <w:t>AND/OR </w:t>
      </w:r>
      <w:r>
        <w:rPr>
          <w:sz w:val="22"/>
        </w:rPr>
        <w:t>gusts to 20 mph or more for four hours in an 8-hour block. Dry Creek RAWS (eastern 660) must also report 35% humidity or less </w:t>
      </w:r>
      <w:r>
        <w:rPr>
          <w:b/>
          <w:sz w:val="22"/>
        </w:rPr>
        <w:t>AND </w:t>
      </w:r>
      <w:r>
        <w:rPr>
          <w:sz w:val="22"/>
        </w:rPr>
        <w:t>10-minute wind speed of 10 mph </w:t>
      </w:r>
      <w:r>
        <w:rPr>
          <w:b/>
          <w:sz w:val="22"/>
        </w:rPr>
        <w:t>AND/OR </w:t>
      </w:r>
      <w:r>
        <w:rPr>
          <w:sz w:val="22"/>
        </w:rPr>
        <w:t>gusts to 20 mph or more for at least </w:t>
      </w:r>
      <w:r>
        <w:rPr>
          <w:b/>
          <w:sz w:val="22"/>
        </w:rPr>
        <w:t>TWO </w:t>
      </w:r>
      <w:r>
        <w:rPr>
          <w:sz w:val="22"/>
        </w:rPr>
        <w:t>hours.</w:t>
      </w:r>
    </w:p>
    <w:p>
      <w:pPr>
        <w:pStyle w:val="BodyText"/>
        <w:spacing w:before="11"/>
        <w:rPr>
          <w:sz w:val="21"/>
        </w:rPr>
      </w:pPr>
    </w:p>
    <w:p>
      <w:pPr>
        <w:spacing w:before="0"/>
        <w:ind w:left="1719" w:right="736" w:firstLine="0"/>
        <w:jc w:val="both"/>
        <w:rPr>
          <w:sz w:val="22"/>
        </w:rPr>
      </w:pPr>
      <w:r>
        <w:rPr>
          <w:b/>
          <w:sz w:val="22"/>
        </w:rPr>
        <w:t>ZONES 606 AND 608</w:t>
      </w:r>
      <w:r>
        <w:rPr>
          <w:sz w:val="22"/>
        </w:rPr>
        <w:t>: One station (RAWS) must report 30% humidity or less </w:t>
      </w:r>
      <w:r>
        <w:rPr>
          <w:b/>
          <w:sz w:val="22"/>
        </w:rPr>
        <w:t>AND </w:t>
      </w:r>
      <w:r>
        <w:rPr>
          <w:sz w:val="22"/>
        </w:rPr>
        <w:t>10- minute wind speed of 10 mph </w:t>
      </w:r>
      <w:r>
        <w:rPr>
          <w:b/>
          <w:sz w:val="22"/>
        </w:rPr>
        <w:t>AND/OR </w:t>
      </w:r>
      <w:r>
        <w:rPr>
          <w:sz w:val="22"/>
        </w:rPr>
        <w:t>gusts to 20 mph or more for at least four hours in an 8-hour block, </w:t>
      </w:r>
      <w:r>
        <w:rPr>
          <w:b/>
          <w:sz w:val="22"/>
        </w:rPr>
        <w:t>AND ONE </w:t>
      </w:r>
      <w:r>
        <w:rPr>
          <w:sz w:val="22"/>
        </w:rPr>
        <w:t>other station must report the same conditions for at least </w:t>
      </w:r>
      <w:r>
        <w:rPr>
          <w:b/>
          <w:sz w:val="22"/>
        </w:rPr>
        <w:t>ONE </w:t>
      </w:r>
      <w:r>
        <w:rPr>
          <w:sz w:val="22"/>
        </w:rPr>
        <w:t>hour. </w:t>
      </w:r>
      <w:r>
        <w:rPr>
          <w:b/>
          <w:sz w:val="22"/>
        </w:rPr>
        <w:t>Key RAWS</w:t>
      </w:r>
      <w:r>
        <w:rPr>
          <w:sz w:val="22"/>
        </w:rPr>
        <w:t>: Brush Creek, Trout Creek, Yellowstone, and Emigrant.</w:t>
      </w:r>
    </w:p>
    <w:p>
      <w:pPr>
        <w:pStyle w:val="BodyText"/>
        <w:spacing w:before="2"/>
        <w:rPr>
          <w:sz w:val="22"/>
        </w:rPr>
      </w:pPr>
    </w:p>
    <w:p>
      <w:pPr>
        <w:spacing w:before="0"/>
        <w:ind w:left="1718" w:right="0" w:firstLine="0"/>
        <w:jc w:val="both"/>
        <w:rPr>
          <w:b/>
          <w:i/>
          <w:sz w:val="22"/>
        </w:rPr>
      </w:pPr>
      <w:r>
        <w:rPr>
          <w:b/>
          <w:i/>
          <w:sz w:val="22"/>
        </w:rPr>
        <w:t>DAYTIME CRITERIA (ALL ZONES):</w:t>
      </w:r>
    </w:p>
    <w:p>
      <w:pPr>
        <w:pStyle w:val="BodyText"/>
        <w:spacing w:before="9"/>
        <w:rPr>
          <w:b/>
          <w:i/>
          <w:sz w:val="21"/>
        </w:rPr>
      </w:pPr>
    </w:p>
    <w:p>
      <w:pPr>
        <w:spacing w:before="1"/>
        <w:ind w:left="1718" w:right="738" w:firstLine="0"/>
        <w:jc w:val="both"/>
        <w:rPr>
          <w:sz w:val="22"/>
        </w:rPr>
      </w:pPr>
      <w:r>
        <w:rPr>
          <w:sz w:val="22"/>
        </w:rPr>
        <w:t>At least two stations within a zone must report 25% humidity or less </w:t>
      </w:r>
      <w:r>
        <w:rPr>
          <w:b/>
          <w:spacing w:val="-3"/>
          <w:sz w:val="22"/>
        </w:rPr>
        <w:t>AND </w:t>
      </w:r>
      <w:r>
        <w:rPr>
          <w:sz w:val="22"/>
        </w:rPr>
        <w:t>wind-speed of 10 mph or more OR gusts to 20 mph or more (except 15 mph or gusts to 25 mph or more in zones 604 and 667) for at least four hours in an 8-hour</w:t>
      </w:r>
      <w:r>
        <w:rPr>
          <w:spacing w:val="-9"/>
          <w:sz w:val="22"/>
        </w:rPr>
        <w:t> </w:t>
      </w:r>
      <w:r>
        <w:rPr>
          <w:sz w:val="22"/>
        </w:rPr>
        <w:t>block.</w:t>
      </w:r>
    </w:p>
    <w:p>
      <w:pPr>
        <w:pStyle w:val="BodyText"/>
        <w:rPr>
          <w:sz w:val="22"/>
        </w:rPr>
      </w:pPr>
    </w:p>
    <w:p>
      <w:pPr>
        <w:spacing w:before="0"/>
        <w:ind w:left="1718" w:right="737" w:firstLine="0"/>
        <w:jc w:val="both"/>
        <w:rPr>
          <w:sz w:val="22"/>
        </w:rPr>
      </w:pPr>
      <w:r>
        <w:rPr>
          <w:sz w:val="22"/>
        </w:rPr>
        <w:t>Typically for east wind (offshore flow), but can occur in the Coast Range and central/south Willamette Valley with north to northeast wind. Can also occur in the Central Cascades and foothills with shallow marine surges (west to northwest</w:t>
      </w:r>
      <w:r>
        <w:rPr>
          <w:spacing w:val="-8"/>
          <w:sz w:val="22"/>
        </w:rPr>
        <w:t> </w:t>
      </w:r>
      <w:r>
        <w:rPr>
          <w:sz w:val="22"/>
        </w:rPr>
        <w:t>wind).</w:t>
      </w:r>
    </w:p>
    <w:p>
      <w:pPr>
        <w:pStyle w:val="BodyText"/>
        <w:spacing w:before="10"/>
        <w:rPr>
          <w:sz w:val="21"/>
        </w:rPr>
      </w:pPr>
    </w:p>
    <w:p>
      <w:pPr>
        <w:pStyle w:val="ListParagraph"/>
        <w:numPr>
          <w:ilvl w:val="0"/>
          <w:numId w:val="12"/>
        </w:numPr>
        <w:tabs>
          <w:tab w:pos="1718" w:val="left" w:leader="none"/>
          <w:tab w:pos="1719" w:val="left" w:leader="none"/>
        </w:tabs>
        <w:spacing w:line="240" w:lineRule="auto" w:before="0" w:after="0"/>
        <w:ind w:left="1718" w:right="0" w:hanging="720"/>
        <w:jc w:val="left"/>
        <w:rPr>
          <w:b/>
          <w:sz w:val="22"/>
        </w:rPr>
      </w:pPr>
      <w:r>
        <w:rPr>
          <w:b/>
          <w:sz w:val="22"/>
        </w:rPr>
        <w:t>CRITICALLY DRY </w:t>
      </w:r>
      <w:r>
        <w:rPr>
          <w:b/>
          <w:spacing w:val="-3"/>
          <w:sz w:val="22"/>
        </w:rPr>
        <w:t>AND </w:t>
      </w:r>
      <w:r>
        <w:rPr>
          <w:b/>
          <w:sz w:val="22"/>
        </w:rPr>
        <w:t>UNSTABLE </w:t>
      </w:r>
      <w:r>
        <w:rPr>
          <w:b/>
          <w:spacing w:val="-3"/>
          <w:sz w:val="22"/>
        </w:rPr>
        <w:t>AIR </w:t>
      </w:r>
      <w:r>
        <w:rPr>
          <w:b/>
          <w:sz w:val="22"/>
        </w:rPr>
        <w:t>MASS (HAINES INDEX</w:t>
      </w:r>
      <w:r>
        <w:rPr>
          <w:b/>
          <w:spacing w:val="12"/>
          <w:sz w:val="22"/>
        </w:rPr>
        <w:t> </w:t>
      </w:r>
      <w:r>
        <w:rPr>
          <w:b/>
          <w:sz w:val="22"/>
        </w:rPr>
        <w:t>6)</w:t>
      </w:r>
    </w:p>
    <w:p>
      <w:pPr>
        <w:pStyle w:val="BodyText"/>
        <w:rPr>
          <w:b/>
          <w:sz w:val="22"/>
        </w:rPr>
      </w:pPr>
    </w:p>
    <w:p>
      <w:pPr>
        <w:spacing w:before="0"/>
        <w:ind w:left="1718" w:right="736" w:firstLine="0"/>
        <w:jc w:val="both"/>
        <w:rPr>
          <w:sz w:val="22"/>
        </w:rPr>
      </w:pPr>
      <w:r>
        <w:rPr>
          <w:sz w:val="22"/>
        </w:rPr>
        <w:t>At least </w:t>
      </w:r>
      <w:r>
        <w:rPr>
          <w:b/>
          <w:sz w:val="22"/>
        </w:rPr>
        <w:t>ONE </w:t>
      </w:r>
      <w:r>
        <w:rPr>
          <w:sz w:val="22"/>
        </w:rPr>
        <w:t>station within a zone must report 25% humidity or less, measure a mid and/or high-level Haines 6, or exhibit inferred mid and/or high-level Haines 6 characteristics, </w:t>
      </w:r>
      <w:r>
        <w:rPr>
          <w:b/>
          <w:spacing w:val="-3"/>
          <w:sz w:val="22"/>
        </w:rPr>
        <w:t>AND </w:t>
      </w:r>
      <w:r>
        <w:rPr>
          <w:sz w:val="22"/>
        </w:rPr>
        <w:t>fuel conditions are in the “BROWN”, or “YELLOW” based on forecaster</w:t>
      </w:r>
      <w:r>
        <w:rPr>
          <w:spacing w:val="-2"/>
          <w:sz w:val="22"/>
        </w:rPr>
        <w:t> </w:t>
      </w:r>
      <w:r>
        <w:rPr>
          <w:sz w:val="22"/>
        </w:rPr>
        <w:t>discretion.</w:t>
      </w:r>
    </w:p>
    <w:p>
      <w:pPr>
        <w:pStyle w:val="BodyText"/>
        <w:rPr>
          <w:sz w:val="22"/>
        </w:rPr>
      </w:pPr>
    </w:p>
    <w:p>
      <w:pPr>
        <w:pStyle w:val="ListParagraph"/>
        <w:numPr>
          <w:ilvl w:val="0"/>
          <w:numId w:val="12"/>
        </w:numPr>
        <w:tabs>
          <w:tab w:pos="1718" w:val="left" w:leader="none"/>
          <w:tab w:pos="1719" w:val="left" w:leader="none"/>
        </w:tabs>
        <w:spacing w:line="240" w:lineRule="auto" w:before="0" w:after="0"/>
        <w:ind w:left="1718" w:right="0" w:hanging="720"/>
        <w:jc w:val="left"/>
        <w:rPr>
          <w:b/>
          <w:sz w:val="22"/>
        </w:rPr>
      </w:pPr>
      <w:r>
        <w:rPr>
          <w:b/>
          <w:sz w:val="22"/>
        </w:rPr>
        <w:t>LIGHTNING IN COMBINATION WITH DRY</w:t>
      </w:r>
      <w:r>
        <w:rPr>
          <w:b/>
          <w:spacing w:val="-2"/>
          <w:sz w:val="22"/>
        </w:rPr>
        <w:t> </w:t>
      </w:r>
      <w:r>
        <w:rPr>
          <w:b/>
          <w:sz w:val="22"/>
        </w:rPr>
        <w:t>FUELS</w:t>
      </w:r>
    </w:p>
    <w:p>
      <w:pPr>
        <w:pStyle w:val="BodyText"/>
        <w:spacing w:before="2"/>
        <w:rPr>
          <w:b/>
          <w:sz w:val="22"/>
        </w:rPr>
      </w:pPr>
    </w:p>
    <w:p>
      <w:pPr>
        <w:spacing w:before="0"/>
        <w:ind w:left="999" w:right="1779" w:hanging="1"/>
        <w:jc w:val="left"/>
        <w:rPr>
          <w:b/>
          <w:i/>
          <w:sz w:val="22"/>
        </w:rPr>
      </w:pPr>
      <w:r>
        <w:rPr>
          <w:b/>
          <w:sz w:val="22"/>
        </w:rPr>
        <w:t>“Dry thunderstorm” Red Flag criteria is defined as follows: </w:t>
      </w:r>
      <w:r>
        <w:rPr>
          <w:b/>
          <w:i/>
          <w:sz w:val="22"/>
          <w:u w:val="thick"/>
        </w:rPr>
        <w:t>Abundant lightning in</w:t>
      </w:r>
      <w:r>
        <w:rPr>
          <w:b/>
          <w:i/>
          <w:sz w:val="22"/>
        </w:rPr>
        <w:t> </w:t>
      </w:r>
      <w:r>
        <w:rPr>
          <w:b/>
          <w:i/>
          <w:sz w:val="22"/>
          <w:u w:val="thick"/>
        </w:rPr>
        <w:t>conjunction with sufficiently dry fuels</w:t>
      </w:r>
      <w:r>
        <w:rPr>
          <w:b/>
          <w:i/>
          <w:sz w:val="22"/>
        </w:rPr>
        <w:t>.</w:t>
      </w:r>
    </w:p>
    <w:p>
      <w:pPr>
        <w:pStyle w:val="BodyText"/>
        <w:spacing w:before="1"/>
        <w:rPr>
          <w:b/>
          <w:i/>
          <w:sz w:val="14"/>
        </w:rPr>
      </w:pPr>
    </w:p>
    <w:p>
      <w:pPr>
        <w:spacing w:before="93"/>
        <w:ind w:left="2439" w:right="0" w:firstLine="0"/>
        <w:jc w:val="left"/>
        <w:rPr>
          <w:sz w:val="22"/>
        </w:rPr>
      </w:pPr>
      <w:r>
        <w:rPr>
          <w:sz w:val="22"/>
          <w:u w:val="single"/>
        </w:rPr>
        <w:t>Abundant Lightning</w:t>
      </w:r>
      <w:r>
        <w:rPr>
          <w:sz w:val="22"/>
        </w:rPr>
        <w:t>:</w:t>
      </w:r>
    </w:p>
    <w:p>
      <w:pPr>
        <w:pStyle w:val="BodyText"/>
        <w:spacing w:before="11"/>
        <w:rPr>
          <w:sz w:val="13"/>
        </w:rPr>
      </w:pPr>
    </w:p>
    <w:p>
      <w:pPr>
        <w:pStyle w:val="ListParagraph"/>
        <w:numPr>
          <w:ilvl w:val="1"/>
          <w:numId w:val="12"/>
        </w:numPr>
        <w:tabs>
          <w:tab w:pos="2699" w:val="left" w:leader="none"/>
        </w:tabs>
        <w:spacing w:line="240" w:lineRule="auto" w:before="93" w:after="0"/>
        <w:ind w:left="2439" w:right="2418" w:firstLine="0"/>
        <w:jc w:val="left"/>
        <w:rPr>
          <w:sz w:val="22"/>
        </w:rPr>
      </w:pPr>
      <w:r>
        <w:rPr>
          <w:sz w:val="22"/>
        </w:rPr>
        <w:t>Number of lightning strikes that meet climatologically</w:t>
      </w:r>
      <w:r>
        <w:rPr>
          <w:spacing w:val="-32"/>
          <w:sz w:val="22"/>
        </w:rPr>
        <w:t> </w:t>
      </w:r>
      <w:r>
        <w:rPr>
          <w:sz w:val="22"/>
        </w:rPr>
        <w:t>significant criteria,</w:t>
      </w:r>
      <w:r>
        <w:rPr>
          <w:spacing w:val="-2"/>
          <w:sz w:val="22"/>
        </w:rPr>
        <w:t> </w:t>
      </w:r>
      <w:r>
        <w:rPr>
          <w:sz w:val="22"/>
        </w:rPr>
        <w:t>or</w:t>
      </w:r>
    </w:p>
    <w:p>
      <w:pPr>
        <w:pStyle w:val="ListParagraph"/>
        <w:numPr>
          <w:ilvl w:val="1"/>
          <w:numId w:val="12"/>
        </w:numPr>
        <w:tabs>
          <w:tab w:pos="2699" w:val="left" w:leader="none"/>
        </w:tabs>
        <w:spacing w:line="251" w:lineRule="exact" w:before="0" w:after="0"/>
        <w:ind w:left="2439" w:right="0" w:firstLine="0"/>
        <w:jc w:val="left"/>
        <w:rPr>
          <w:sz w:val="22"/>
        </w:rPr>
      </w:pPr>
      <w:r>
        <w:rPr>
          <w:sz w:val="22"/>
        </w:rPr>
        <w:t>Areal coverage of lightning such as “Scattered” or </w:t>
      </w:r>
      <w:r>
        <w:rPr>
          <w:sz w:val="22"/>
          <w:u w:val="single"/>
        </w:rPr>
        <w:t>&gt;</w:t>
      </w:r>
      <w:r>
        <w:rPr>
          <w:spacing w:val="-7"/>
          <w:sz w:val="22"/>
        </w:rPr>
        <w:t> </w:t>
      </w:r>
      <w:r>
        <w:rPr>
          <w:spacing w:val="-3"/>
          <w:sz w:val="22"/>
        </w:rPr>
        <w:t>25%</w:t>
      </w:r>
    </w:p>
    <w:p>
      <w:pPr>
        <w:pStyle w:val="BodyText"/>
        <w:rPr>
          <w:sz w:val="20"/>
        </w:rPr>
      </w:pPr>
    </w:p>
    <w:p>
      <w:pPr>
        <w:pStyle w:val="BodyText"/>
        <w:rPr>
          <w:sz w:val="16"/>
        </w:rPr>
      </w:pPr>
    </w:p>
    <w:p>
      <w:pPr>
        <w:spacing w:before="94"/>
        <w:ind w:left="2439" w:right="0" w:firstLine="0"/>
        <w:jc w:val="left"/>
        <w:rPr>
          <w:sz w:val="22"/>
        </w:rPr>
      </w:pPr>
      <w:r>
        <w:rPr>
          <w:sz w:val="22"/>
          <w:u w:val="single"/>
        </w:rPr>
        <w:t>Sufficiently Dry Fuels</w:t>
      </w:r>
      <w:r>
        <w:rPr>
          <w:sz w:val="22"/>
        </w:rPr>
        <w:t>:</w:t>
      </w:r>
    </w:p>
    <w:p>
      <w:pPr>
        <w:pStyle w:val="BodyText"/>
        <w:spacing w:before="8"/>
        <w:rPr>
          <w:sz w:val="13"/>
        </w:rPr>
      </w:pPr>
    </w:p>
    <w:p>
      <w:pPr>
        <w:pStyle w:val="ListParagraph"/>
        <w:numPr>
          <w:ilvl w:val="0"/>
          <w:numId w:val="13"/>
        </w:numPr>
        <w:tabs>
          <w:tab w:pos="2699" w:val="left" w:leader="none"/>
        </w:tabs>
        <w:spacing w:line="240" w:lineRule="auto" w:before="94" w:after="0"/>
        <w:ind w:left="2698" w:right="0" w:hanging="259"/>
        <w:jc w:val="left"/>
        <w:rPr>
          <w:sz w:val="22"/>
        </w:rPr>
      </w:pPr>
      <w:r>
        <w:rPr>
          <w:sz w:val="22"/>
        </w:rPr>
        <w:t>No appreciable change in fuel conditions the day of and the</w:t>
      </w:r>
      <w:r>
        <w:rPr>
          <w:spacing w:val="-36"/>
          <w:sz w:val="22"/>
        </w:rPr>
        <w:t> </w:t>
      </w:r>
      <w:r>
        <w:rPr>
          <w:sz w:val="22"/>
        </w:rPr>
        <w:t>day</w:t>
      </w:r>
    </w:p>
    <w:p>
      <w:pPr>
        <w:spacing w:after="0" w:line="240" w:lineRule="auto"/>
        <w:jc w:val="left"/>
        <w:rPr>
          <w:sz w:val="22"/>
        </w:rPr>
        <w:sectPr>
          <w:pgSz w:w="12240" w:h="15840"/>
          <w:pgMar w:header="0" w:footer="968" w:top="1280" w:bottom="1240" w:left="340" w:right="620"/>
        </w:sectPr>
      </w:pPr>
    </w:p>
    <w:p>
      <w:pPr>
        <w:spacing w:line="252" w:lineRule="exact" w:before="78"/>
        <w:ind w:left="3219" w:right="0" w:firstLine="0"/>
        <w:jc w:val="left"/>
        <w:rPr>
          <w:sz w:val="22"/>
        </w:rPr>
      </w:pPr>
      <w:r>
        <w:rPr>
          <w:sz w:val="22"/>
        </w:rPr>
        <w:t>following a thunderstorm event, or</w:t>
      </w:r>
    </w:p>
    <w:p>
      <w:pPr>
        <w:pStyle w:val="ListParagraph"/>
        <w:numPr>
          <w:ilvl w:val="0"/>
          <w:numId w:val="13"/>
        </w:numPr>
        <w:tabs>
          <w:tab w:pos="2699" w:val="left" w:leader="none"/>
        </w:tabs>
        <w:spacing w:line="252" w:lineRule="exact" w:before="0" w:after="0"/>
        <w:ind w:left="2698" w:right="0" w:hanging="259"/>
        <w:jc w:val="left"/>
        <w:rPr>
          <w:sz w:val="22"/>
        </w:rPr>
      </w:pPr>
      <w:r>
        <w:rPr>
          <w:sz w:val="22"/>
        </w:rPr>
        <w:t>ERC or BI values meeting climatologically significant percentiles,</w:t>
      </w:r>
      <w:r>
        <w:rPr>
          <w:spacing w:val="-5"/>
          <w:sz w:val="22"/>
        </w:rPr>
        <w:t> </w:t>
      </w:r>
      <w:r>
        <w:rPr>
          <w:sz w:val="22"/>
        </w:rPr>
        <w:t>or</w:t>
      </w:r>
    </w:p>
    <w:p>
      <w:pPr>
        <w:pStyle w:val="ListParagraph"/>
        <w:numPr>
          <w:ilvl w:val="0"/>
          <w:numId w:val="13"/>
        </w:numPr>
        <w:tabs>
          <w:tab w:pos="2699" w:val="left" w:leader="none"/>
        </w:tabs>
        <w:spacing w:line="252" w:lineRule="exact" w:before="0" w:after="0"/>
        <w:ind w:left="2698" w:right="0" w:hanging="259"/>
        <w:jc w:val="left"/>
        <w:rPr>
          <w:sz w:val="22"/>
        </w:rPr>
      </w:pPr>
      <w:r>
        <w:rPr>
          <w:sz w:val="22"/>
        </w:rPr>
        <w:t>Land management</w:t>
      </w:r>
      <w:r>
        <w:rPr>
          <w:spacing w:val="-1"/>
          <w:sz w:val="22"/>
        </w:rPr>
        <w:t> </w:t>
      </w:r>
      <w:r>
        <w:rPr>
          <w:sz w:val="22"/>
        </w:rPr>
        <w:t>declaration</w:t>
      </w:r>
    </w:p>
    <w:p>
      <w:pPr>
        <w:pStyle w:val="BodyText"/>
        <w:rPr>
          <w:sz w:val="22"/>
        </w:rPr>
      </w:pPr>
    </w:p>
    <w:p>
      <w:pPr>
        <w:spacing w:before="0"/>
        <w:ind w:left="1719" w:right="738" w:firstLine="0"/>
        <w:jc w:val="both"/>
        <w:rPr>
          <w:sz w:val="22"/>
        </w:rPr>
      </w:pPr>
      <w:r>
        <w:rPr>
          <w:sz w:val="22"/>
        </w:rPr>
        <w:t>This is a very rare event which, climatologically, has the highest likelihood of occurrence in the south half of the Willamette N.F..</w:t>
      </w:r>
    </w:p>
    <w:p>
      <w:pPr>
        <w:pStyle w:val="BodyText"/>
        <w:rPr>
          <w:sz w:val="22"/>
        </w:rPr>
      </w:pPr>
    </w:p>
    <w:p>
      <w:pPr>
        <w:spacing w:before="0"/>
        <w:ind w:left="1719" w:right="737" w:firstLine="0"/>
        <w:jc w:val="both"/>
        <w:rPr>
          <w:sz w:val="22"/>
        </w:rPr>
      </w:pPr>
      <w:r>
        <w:rPr>
          <w:sz w:val="22"/>
        </w:rPr>
        <w:t>Fuel Conditions </w:t>
      </w:r>
      <w:r>
        <w:rPr>
          <w:b/>
          <w:sz w:val="22"/>
        </w:rPr>
        <w:t>SHOULD </w:t>
      </w:r>
      <w:r>
        <w:rPr>
          <w:sz w:val="22"/>
        </w:rPr>
        <w:t>be in the “BROWN”, and expected lightning frequency such that multiple starts (5-7) are expected. (Typically “scattered” thunderstorm coverage). Under unusual or extreme conditions, a Red Flag Warning can also be issued when fuel conditions are “YELLOW”. Basically, “scattered” thunderstorms that do not produce enough precipitation to appreciably change the overall fuel conditions from “BROWN” or high-end</w:t>
      </w:r>
      <w:r>
        <w:rPr>
          <w:spacing w:val="-3"/>
          <w:sz w:val="22"/>
        </w:rPr>
        <w:t> </w:t>
      </w:r>
      <w:r>
        <w:rPr>
          <w:sz w:val="22"/>
        </w:rPr>
        <w:t>“YELLOW”.</w:t>
      </w:r>
    </w:p>
    <w:p>
      <w:pPr>
        <w:pStyle w:val="BodyText"/>
      </w:pPr>
    </w:p>
    <w:p>
      <w:pPr>
        <w:pStyle w:val="BodyText"/>
        <w:spacing w:before="11"/>
        <w:rPr>
          <w:sz w:val="19"/>
        </w:rPr>
      </w:pPr>
    </w:p>
    <w:p>
      <w:pPr>
        <w:pStyle w:val="ListParagraph"/>
        <w:numPr>
          <w:ilvl w:val="2"/>
          <w:numId w:val="11"/>
        </w:numPr>
        <w:tabs>
          <w:tab w:pos="1304" w:val="left" w:leader="none"/>
        </w:tabs>
        <w:spacing w:line="240" w:lineRule="auto" w:before="0" w:after="0"/>
        <w:ind w:left="1304" w:right="0" w:hanging="305"/>
        <w:jc w:val="left"/>
        <w:rPr>
          <w:b/>
          <w:sz w:val="22"/>
        </w:rPr>
      </w:pPr>
      <w:r>
        <w:rPr>
          <w:b/>
          <w:sz w:val="22"/>
          <w:u w:val="thick"/>
        </w:rPr>
        <w:t>SPOT</w:t>
      </w:r>
      <w:r>
        <w:rPr>
          <w:b/>
          <w:spacing w:val="-3"/>
          <w:sz w:val="22"/>
          <w:u w:val="thick"/>
        </w:rPr>
        <w:t> </w:t>
      </w:r>
      <w:r>
        <w:rPr>
          <w:b/>
          <w:sz w:val="22"/>
          <w:u w:val="thick"/>
        </w:rPr>
        <w:t>FORECASTS</w:t>
      </w:r>
    </w:p>
    <w:p>
      <w:pPr>
        <w:pStyle w:val="BodyText"/>
        <w:spacing w:before="1"/>
        <w:rPr>
          <w:b/>
          <w:sz w:val="14"/>
        </w:rPr>
      </w:pPr>
    </w:p>
    <w:p>
      <w:pPr>
        <w:spacing w:before="94"/>
        <w:ind w:left="999" w:right="737" w:firstLine="0"/>
        <w:jc w:val="both"/>
        <w:rPr>
          <w:sz w:val="22"/>
        </w:rPr>
      </w:pPr>
      <w:r>
        <w:rPr>
          <w:sz w:val="22"/>
        </w:rPr>
        <w:t>Detailed weather information beyond what is presented in the general forecast may be obtained with a spot forecast request. Spot forecasts may be requested by a telephone call to the fire weather forecaster or through the spot forecast request web page available on the Portland fire weather web page at:</w:t>
      </w:r>
    </w:p>
    <w:p>
      <w:pPr>
        <w:pStyle w:val="BodyText"/>
        <w:spacing w:before="11"/>
        <w:rPr>
          <w:sz w:val="21"/>
        </w:rPr>
      </w:pPr>
    </w:p>
    <w:p>
      <w:pPr>
        <w:spacing w:before="0"/>
        <w:ind w:left="999" w:right="0" w:firstLine="0"/>
        <w:jc w:val="both"/>
        <w:rPr>
          <w:sz w:val="22"/>
        </w:rPr>
      </w:pPr>
      <w:hyperlink r:id="rId86">
        <w:r>
          <w:rPr>
            <w:color w:val="0000FF"/>
            <w:sz w:val="22"/>
            <w:u w:val="single" w:color="0000FF"/>
          </w:rPr>
          <w:t>NWS Spot Request Page</w:t>
        </w:r>
      </w:hyperlink>
    </w:p>
    <w:p>
      <w:pPr>
        <w:pStyle w:val="BodyText"/>
        <w:rPr>
          <w:sz w:val="20"/>
        </w:rPr>
      </w:pPr>
    </w:p>
    <w:p>
      <w:pPr>
        <w:pStyle w:val="BodyText"/>
        <w:spacing w:before="7"/>
        <w:rPr>
          <w:sz w:val="15"/>
        </w:rPr>
      </w:pPr>
    </w:p>
    <w:p>
      <w:pPr>
        <w:spacing w:before="94"/>
        <w:ind w:left="999" w:right="0" w:firstLine="0"/>
        <w:jc w:val="left"/>
        <w:rPr>
          <w:b/>
          <w:sz w:val="22"/>
        </w:rPr>
      </w:pPr>
      <w:r>
        <w:rPr>
          <w:b/>
          <w:color w:val="FF0000"/>
          <w:sz w:val="22"/>
          <w:u w:val="thick" w:color="FF0000"/>
        </w:rPr>
        <w:t>NEW SPOT FORECAST WEB PAGE</w:t>
      </w:r>
    </w:p>
    <w:p>
      <w:pPr>
        <w:pStyle w:val="BodyText"/>
        <w:spacing w:before="1"/>
        <w:rPr>
          <w:b/>
          <w:sz w:val="14"/>
        </w:rPr>
      </w:pPr>
    </w:p>
    <w:p>
      <w:pPr>
        <w:spacing w:before="94"/>
        <w:ind w:left="999" w:right="736" w:firstLine="0"/>
        <w:jc w:val="both"/>
        <w:rPr>
          <w:sz w:val="22"/>
        </w:rPr>
      </w:pPr>
      <w:r>
        <w:rPr>
          <w:sz w:val="22"/>
        </w:rPr>
        <w:t>Click on the above link to get to the spot request form. To monitor existing spots and to check the status of spot requests, click on the </w:t>
      </w:r>
      <w:r>
        <w:rPr>
          <w:b/>
          <w:i/>
          <w:sz w:val="22"/>
        </w:rPr>
        <w:t>“Monitor” </w:t>
      </w:r>
      <w:r>
        <w:rPr>
          <w:sz w:val="22"/>
        </w:rPr>
        <w:t>box at the top of the page. Contact the Portland Fire Desk for any questions or guidance using the new spot page.</w:t>
      </w:r>
    </w:p>
    <w:p>
      <w:pPr>
        <w:pStyle w:val="BodyText"/>
        <w:spacing w:before="7"/>
        <w:rPr>
          <w:sz w:val="21"/>
        </w:rPr>
      </w:pPr>
    </w:p>
    <w:p>
      <w:pPr>
        <w:pStyle w:val="ListParagraph"/>
        <w:numPr>
          <w:ilvl w:val="2"/>
          <w:numId w:val="11"/>
        </w:numPr>
        <w:tabs>
          <w:tab w:pos="1304" w:val="left" w:leader="none"/>
        </w:tabs>
        <w:spacing w:line="240" w:lineRule="auto" w:before="0" w:after="0"/>
        <w:ind w:left="1304" w:right="0" w:hanging="305"/>
        <w:jc w:val="both"/>
        <w:rPr>
          <w:b/>
          <w:sz w:val="22"/>
        </w:rPr>
      </w:pPr>
      <w:r>
        <w:rPr>
          <w:b/>
          <w:sz w:val="22"/>
          <w:u w:val="thick"/>
        </w:rPr>
        <w:t>GENERAL</w:t>
      </w:r>
      <w:r>
        <w:rPr>
          <w:b/>
          <w:spacing w:val="-1"/>
          <w:sz w:val="22"/>
          <w:u w:val="thick"/>
        </w:rPr>
        <w:t> </w:t>
      </w:r>
      <w:r>
        <w:rPr>
          <w:b/>
          <w:sz w:val="22"/>
          <w:u w:val="thick"/>
        </w:rPr>
        <w:t>FORECASTS</w:t>
      </w:r>
    </w:p>
    <w:p>
      <w:pPr>
        <w:pStyle w:val="BodyText"/>
        <w:spacing w:before="1"/>
        <w:rPr>
          <w:b/>
          <w:sz w:val="14"/>
        </w:rPr>
      </w:pPr>
    </w:p>
    <w:p>
      <w:pPr>
        <w:spacing w:before="94"/>
        <w:ind w:left="999" w:right="738" w:firstLine="0"/>
        <w:jc w:val="both"/>
        <w:rPr>
          <w:sz w:val="22"/>
        </w:rPr>
      </w:pPr>
      <w:r>
        <w:rPr>
          <w:i/>
          <w:sz w:val="22"/>
        </w:rPr>
        <w:t>Fire Season</w:t>
      </w:r>
      <w:r>
        <w:rPr>
          <w:sz w:val="22"/>
        </w:rPr>
        <w:t>: Regularly scheduled general fire weather forecasts are issued twice per day by certified fire weather forecasters by 0900 and 1445.</w:t>
      </w:r>
    </w:p>
    <w:p>
      <w:pPr>
        <w:pStyle w:val="BodyText"/>
        <w:spacing w:before="11"/>
        <w:rPr>
          <w:sz w:val="21"/>
        </w:rPr>
      </w:pPr>
    </w:p>
    <w:p>
      <w:pPr>
        <w:spacing w:before="0"/>
        <w:ind w:left="999" w:right="737" w:firstLine="0"/>
        <w:jc w:val="both"/>
        <w:rPr>
          <w:sz w:val="22"/>
        </w:rPr>
      </w:pPr>
      <w:r>
        <w:rPr>
          <w:i/>
          <w:sz w:val="22"/>
        </w:rPr>
        <w:t>Prescribed Burning Season</w:t>
      </w:r>
      <w:r>
        <w:rPr>
          <w:sz w:val="22"/>
        </w:rPr>
        <w:t>: Regularly scheduled land management forecasts are issued by certified fire weather forecasters Monday through Friday by 0900 and 1430.</w:t>
      </w:r>
    </w:p>
    <w:p>
      <w:pPr>
        <w:pStyle w:val="BodyText"/>
        <w:spacing w:before="1"/>
        <w:rPr>
          <w:sz w:val="22"/>
        </w:rPr>
      </w:pPr>
    </w:p>
    <w:p>
      <w:pPr>
        <w:spacing w:before="1"/>
        <w:ind w:left="999" w:right="0" w:firstLine="0"/>
        <w:jc w:val="left"/>
        <w:rPr>
          <w:sz w:val="22"/>
        </w:rPr>
      </w:pPr>
      <w:r>
        <w:rPr>
          <w:sz w:val="22"/>
        </w:rPr>
        <w:t>The Portland office will include wind gusts when the 10-minute wind speed is 10 mph or greater.</w:t>
      </w:r>
    </w:p>
    <w:p>
      <w:pPr>
        <w:pStyle w:val="BodyText"/>
        <w:spacing w:before="9"/>
        <w:rPr>
          <w:sz w:val="21"/>
        </w:rPr>
      </w:pPr>
    </w:p>
    <w:p>
      <w:pPr>
        <w:spacing w:before="0"/>
        <w:ind w:left="999" w:right="736" w:firstLine="0"/>
        <w:jc w:val="both"/>
        <w:rPr>
          <w:sz w:val="22"/>
        </w:rPr>
      </w:pPr>
      <w:r>
        <w:rPr>
          <w:sz w:val="22"/>
        </w:rPr>
        <w:t>“Overall Fire Environment” (as developed by the Northwest Coordination Center) for the NWS Portland forecast district will no longer be included in the morning forecast. Refer to the NWCC Predictive Services web site for more information. </w:t>
      </w:r>
      <w:hyperlink r:id="rId87">
        <w:r>
          <w:rPr>
            <w:color w:val="0000FF"/>
            <w:sz w:val="22"/>
            <w:u w:val="single" w:color="0000FF"/>
          </w:rPr>
          <w:t>NWCC Home Page</w:t>
        </w:r>
      </w:hyperlink>
    </w:p>
    <w:p>
      <w:pPr>
        <w:pStyle w:val="BodyText"/>
        <w:rPr>
          <w:sz w:val="20"/>
        </w:rPr>
      </w:pPr>
    </w:p>
    <w:p>
      <w:pPr>
        <w:pStyle w:val="BodyText"/>
        <w:spacing w:before="8"/>
        <w:rPr>
          <w:sz w:val="15"/>
        </w:rPr>
      </w:pPr>
    </w:p>
    <w:p>
      <w:pPr>
        <w:pStyle w:val="ListParagraph"/>
        <w:numPr>
          <w:ilvl w:val="2"/>
          <w:numId w:val="11"/>
        </w:numPr>
        <w:tabs>
          <w:tab w:pos="1304" w:val="left" w:leader="none"/>
        </w:tabs>
        <w:spacing w:line="240" w:lineRule="auto" w:before="93" w:after="0"/>
        <w:ind w:left="1304" w:right="0" w:hanging="305"/>
        <w:jc w:val="left"/>
        <w:rPr>
          <w:b/>
          <w:sz w:val="22"/>
        </w:rPr>
      </w:pPr>
      <w:r>
        <w:rPr>
          <w:b/>
          <w:sz w:val="22"/>
          <w:u w:val="thick"/>
        </w:rPr>
        <w:t>NFDRS TREND</w:t>
      </w:r>
      <w:r>
        <w:rPr>
          <w:b/>
          <w:spacing w:val="0"/>
          <w:sz w:val="22"/>
          <w:u w:val="thick"/>
        </w:rPr>
        <w:t> </w:t>
      </w:r>
      <w:r>
        <w:rPr>
          <w:b/>
          <w:sz w:val="22"/>
          <w:u w:val="thick"/>
        </w:rPr>
        <w:t>FORECASTS</w:t>
      </w:r>
    </w:p>
    <w:p>
      <w:pPr>
        <w:pStyle w:val="BodyText"/>
        <w:spacing w:before="2"/>
        <w:rPr>
          <w:b/>
          <w:sz w:val="14"/>
        </w:rPr>
      </w:pPr>
    </w:p>
    <w:p>
      <w:pPr>
        <w:spacing w:before="93"/>
        <w:ind w:left="999" w:right="737" w:firstLine="0"/>
        <w:jc w:val="both"/>
        <w:rPr>
          <w:sz w:val="22"/>
        </w:rPr>
      </w:pPr>
      <w:r>
        <w:rPr>
          <w:sz w:val="22"/>
        </w:rPr>
        <w:t>Numerical point forecasts for NFDRS stations are prepared and disseminated to WIMS by 1530 each afternoon from April through mid-October. The point forecasts are used to compute the expected NFDRS indices valid the following day. The number of NFDRS point forecasts made by the weather office depends only on the number of NFDRS observations input into WIMS by the</w:t>
      </w:r>
    </w:p>
    <w:p>
      <w:pPr>
        <w:spacing w:after="0"/>
        <w:jc w:val="both"/>
        <w:rPr>
          <w:sz w:val="22"/>
        </w:rPr>
        <w:sectPr>
          <w:pgSz w:w="12240" w:h="15840"/>
          <w:pgMar w:header="0" w:footer="968" w:top="1280" w:bottom="1240" w:left="340" w:right="620"/>
        </w:sectPr>
      </w:pPr>
    </w:p>
    <w:p>
      <w:pPr>
        <w:tabs>
          <w:tab w:pos="2520" w:val="left" w:leader="none"/>
        </w:tabs>
        <w:spacing w:before="78"/>
        <w:ind w:left="999" w:right="743" w:firstLine="0"/>
        <w:jc w:val="left"/>
        <w:rPr>
          <w:sz w:val="22"/>
        </w:rPr>
      </w:pPr>
      <w:r>
        <w:rPr>
          <w:sz w:val="22"/>
        </w:rPr>
        <w:t>fire</w:t>
      </w:r>
      <w:r>
        <w:rPr>
          <w:spacing w:val="5"/>
          <w:sz w:val="22"/>
        </w:rPr>
        <w:t> </w:t>
      </w:r>
      <w:r>
        <w:rPr>
          <w:sz w:val="22"/>
        </w:rPr>
        <w:t>agencies.</w:t>
        <w:tab/>
        <w:t>If observations are not entered into WIMS by 1500 however, a forecast will not be produced for that</w:t>
      </w:r>
      <w:r>
        <w:rPr>
          <w:spacing w:val="-5"/>
          <w:sz w:val="22"/>
        </w:rPr>
        <w:t> </w:t>
      </w:r>
      <w:r>
        <w:rPr>
          <w:sz w:val="22"/>
        </w:rPr>
        <w:t>station.</w:t>
      </w:r>
    </w:p>
    <w:p>
      <w:pPr>
        <w:pStyle w:val="BodyText"/>
        <w:spacing w:before="9"/>
        <w:rPr>
          <w:sz w:val="21"/>
        </w:rPr>
      </w:pPr>
    </w:p>
    <w:p>
      <w:pPr>
        <w:spacing w:before="0"/>
        <w:ind w:left="999" w:right="0" w:firstLine="0"/>
        <w:jc w:val="left"/>
        <w:rPr>
          <w:b/>
          <w:sz w:val="22"/>
        </w:rPr>
      </w:pPr>
      <w:bookmarkStart w:name="UTELEPHONE BRIEFINGS" w:id="79"/>
      <w:bookmarkEnd w:id="79"/>
      <w:r>
        <w:rPr/>
      </w:r>
      <w:r>
        <w:rPr>
          <w:b/>
          <w:sz w:val="22"/>
          <w:u w:val="thick"/>
        </w:rPr>
        <w:t>TELEPHONE BRIEFINGS</w:t>
      </w:r>
    </w:p>
    <w:p>
      <w:pPr>
        <w:pStyle w:val="BodyText"/>
        <w:spacing w:before="10"/>
        <w:rPr>
          <w:b/>
          <w:sz w:val="13"/>
        </w:rPr>
      </w:pPr>
    </w:p>
    <w:p>
      <w:pPr>
        <w:tabs>
          <w:tab w:pos="5150" w:val="left" w:leader="none"/>
        </w:tabs>
        <w:spacing w:before="94"/>
        <w:ind w:left="999" w:right="736" w:firstLine="0"/>
        <w:jc w:val="both"/>
        <w:rPr>
          <w:sz w:val="22"/>
        </w:rPr>
      </w:pPr>
      <w:r>
        <w:rPr>
          <w:b/>
          <w:sz w:val="22"/>
        </w:rPr>
        <w:t>Daily internet conference call</w:t>
      </w:r>
      <w:r>
        <w:rPr>
          <w:sz w:val="22"/>
        </w:rPr>
        <w:t>: Portland fire weather conducts a daily weather briefing at 0940 PDT via a conference call from about early June through early October. Fire weather users are encouraged to participate. The forecaster hosting the briefing will verbally highlight current and forecast fire weather conditions with the help of an internet web page. Conference call  participants can follow along with the discussion while viewing graphics displayed on the </w:t>
      </w:r>
      <w:r>
        <w:rPr>
          <w:spacing w:val="-2"/>
          <w:sz w:val="22"/>
        </w:rPr>
        <w:t>web </w:t>
      </w:r>
      <w:r>
        <w:rPr>
          <w:sz w:val="22"/>
        </w:rPr>
        <w:t>page. Conference telephone numbers (and passcodes) can be obtained by contacting the Portland      </w:t>
      </w:r>
      <w:r>
        <w:rPr>
          <w:spacing w:val="58"/>
          <w:sz w:val="22"/>
        </w:rPr>
        <w:t> </w:t>
      </w:r>
      <w:r>
        <w:rPr>
          <w:sz w:val="22"/>
        </w:rPr>
        <w:t>weather      </w:t>
      </w:r>
      <w:r>
        <w:rPr>
          <w:spacing w:val="57"/>
          <w:sz w:val="22"/>
        </w:rPr>
        <w:t> </w:t>
      </w:r>
      <w:r>
        <w:rPr>
          <w:sz w:val="22"/>
        </w:rPr>
        <w:t>office.</w:t>
        <w:tab/>
        <w:t>The       URL       for       the       briefing        graphics is: </w:t>
      </w:r>
      <w:hyperlink r:id="rId88">
        <w:r>
          <w:rPr>
            <w:b/>
            <w:color w:val="0000FF"/>
            <w:sz w:val="22"/>
            <w:u w:val="thick" w:color="0000FF"/>
          </w:rPr>
          <w:t>http://www.wrh.noaa.gov/pqr/fwb.php</w:t>
        </w:r>
        <w:r>
          <w:rPr>
            <w:sz w:val="22"/>
          </w:rPr>
          <w:t>. </w:t>
        </w:r>
      </w:hyperlink>
      <w:r>
        <w:rPr>
          <w:sz w:val="22"/>
        </w:rPr>
        <w:t>Graphics will be available by 0700</w:t>
      </w:r>
      <w:r>
        <w:rPr>
          <w:spacing w:val="-6"/>
          <w:sz w:val="22"/>
        </w:rPr>
        <w:t> </w:t>
      </w:r>
      <w:r>
        <w:rPr>
          <w:sz w:val="22"/>
        </w:rPr>
        <w:t>PDT.</w:t>
      </w:r>
    </w:p>
    <w:p>
      <w:pPr>
        <w:pStyle w:val="BodyText"/>
        <w:spacing w:before="8"/>
        <w:rPr>
          <w:sz w:val="13"/>
        </w:rPr>
      </w:pPr>
    </w:p>
    <w:p>
      <w:pPr>
        <w:spacing w:line="242" w:lineRule="auto" w:before="93"/>
        <w:ind w:left="999" w:right="738" w:firstLine="0"/>
        <w:jc w:val="both"/>
        <w:rPr>
          <w:sz w:val="22"/>
        </w:rPr>
      </w:pPr>
      <w:r>
        <w:rPr>
          <w:b/>
          <w:sz w:val="22"/>
        </w:rPr>
        <w:t>Unscheduled telephone  briefings</w:t>
      </w:r>
      <w:r>
        <w:rPr>
          <w:sz w:val="22"/>
        </w:rPr>
        <w:t>:  Verbal weather briefings can also be obtained at any time. A certified fire weather forecaster should be requested to conduct the briefing during fire weather hours. Otherwise, a briefing will be available from the general forecast</w:t>
      </w:r>
      <w:r>
        <w:rPr>
          <w:spacing w:val="-15"/>
          <w:sz w:val="22"/>
        </w:rPr>
        <w:t> </w:t>
      </w:r>
      <w:r>
        <w:rPr>
          <w:sz w:val="22"/>
        </w:rPr>
        <w:t>staff.</w:t>
      </w:r>
    </w:p>
    <w:p>
      <w:pPr>
        <w:pStyle w:val="BodyText"/>
      </w:pPr>
    </w:p>
    <w:p>
      <w:pPr>
        <w:pStyle w:val="BodyText"/>
        <w:spacing w:before="4"/>
        <w:rPr>
          <w:sz w:val="19"/>
        </w:rPr>
      </w:pPr>
    </w:p>
    <w:p>
      <w:pPr>
        <w:spacing w:before="0"/>
        <w:ind w:left="999" w:right="0" w:firstLine="0"/>
        <w:jc w:val="both"/>
        <w:rPr>
          <w:b/>
          <w:sz w:val="22"/>
        </w:rPr>
      </w:pPr>
      <w:bookmarkStart w:name="UINCIDENT METEOROLOGIST SERVICES" w:id="80"/>
      <w:bookmarkEnd w:id="80"/>
      <w:r>
        <w:rPr/>
      </w:r>
      <w:r>
        <w:rPr>
          <w:b/>
          <w:sz w:val="22"/>
          <w:u w:val="thick"/>
        </w:rPr>
        <w:t>INCIDENT METEOROLOGIST SERVICES</w:t>
      </w:r>
    </w:p>
    <w:p>
      <w:pPr>
        <w:pStyle w:val="BodyText"/>
        <w:spacing w:before="1"/>
        <w:rPr>
          <w:b/>
          <w:sz w:val="14"/>
        </w:rPr>
      </w:pPr>
    </w:p>
    <w:p>
      <w:pPr>
        <w:spacing w:before="94"/>
        <w:ind w:left="999" w:right="737" w:firstLine="0"/>
        <w:jc w:val="both"/>
        <w:rPr>
          <w:sz w:val="22"/>
        </w:rPr>
      </w:pPr>
      <w:r>
        <w:rPr>
          <w:sz w:val="22"/>
        </w:rPr>
        <w:t>Portland has three certified Incident Meteorologists (IMETs) on staff available for wildfire, HAZMAT, or other emergency dispatches. To request an IMET, contact the appropriate fire agency dispatch office or the National Fire Weather Operations Coordinator (NFWOC) in Boise, ID.</w:t>
      </w:r>
    </w:p>
    <w:p>
      <w:pPr>
        <w:pStyle w:val="BodyText"/>
      </w:pPr>
    </w:p>
    <w:p>
      <w:pPr>
        <w:pStyle w:val="BodyText"/>
        <w:rPr>
          <w:sz w:val="20"/>
        </w:rPr>
      </w:pPr>
    </w:p>
    <w:p>
      <w:pPr>
        <w:spacing w:before="0"/>
        <w:ind w:left="999" w:right="0" w:firstLine="0"/>
        <w:jc w:val="both"/>
        <w:rPr>
          <w:b/>
          <w:sz w:val="28"/>
        </w:rPr>
      </w:pPr>
      <w:r>
        <w:rPr>
          <w:b/>
          <w:sz w:val="28"/>
        </w:rPr>
        <w:t>OTHER SERVICES</w:t>
      </w:r>
    </w:p>
    <w:p>
      <w:pPr>
        <w:pStyle w:val="BodyText"/>
        <w:rPr>
          <w:b/>
          <w:sz w:val="30"/>
        </w:rPr>
      </w:pPr>
    </w:p>
    <w:p>
      <w:pPr>
        <w:spacing w:before="227"/>
        <w:ind w:left="999" w:right="0" w:firstLine="0"/>
        <w:jc w:val="both"/>
        <w:rPr>
          <w:b/>
          <w:sz w:val="22"/>
        </w:rPr>
      </w:pPr>
      <w:bookmarkStart w:name="UFIRE WEATHER TRAINING AND LECTURES" w:id="81"/>
      <w:bookmarkEnd w:id="81"/>
      <w:r>
        <w:rPr/>
      </w:r>
      <w:r>
        <w:rPr>
          <w:b/>
          <w:sz w:val="22"/>
          <w:u w:val="thick"/>
        </w:rPr>
        <w:t>FIRE WEATHER TRAINING AND LECTURES</w:t>
      </w:r>
    </w:p>
    <w:p>
      <w:pPr>
        <w:pStyle w:val="BodyText"/>
        <w:spacing w:before="1"/>
        <w:rPr>
          <w:b/>
          <w:sz w:val="14"/>
        </w:rPr>
      </w:pPr>
    </w:p>
    <w:p>
      <w:pPr>
        <w:spacing w:before="94"/>
        <w:ind w:left="999" w:right="736" w:firstLine="0"/>
        <w:jc w:val="both"/>
        <w:rPr>
          <w:sz w:val="22"/>
        </w:rPr>
      </w:pPr>
      <w:r>
        <w:rPr>
          <w:sz w:val="22"/>
        </w:rPr>
        <w:t>An experienced fire weather forecaster will be available to help instruct the weather sections of standard fire behavior training courses offered by federal, state and local government fire agencies. This includes S-190 through S-590 and other courses. In addition,  a forecaster will  also be available for special speaking engagements. For scheduling purposes, requests for an instructor or speaker should be made at least three weeks in</w:t>
      </w:r>
      <w:r>
        <w:rPr>
          <w:spacing w:val="-9"/>
          <w:sz w:val="22"/>
        </w:rPr>
        <w:t> </w:t>
      </w:r>
      <w:r>
        <w:rPr>
          <w:sz w:val="22"/>
        </w:rPr>
        <w:t>advance.</w:t>
      </w:r>
    </w:p>
    <w:p>
      <w:pPr>
        <w:pStyle w:val="BodyText"/>
        <w:spacing w:before="1"/>
        <w:rPr>
          <w:sz w:val="22"/>
        </w:rPr>
      </w:pPr>
    </w:p>
    <w:p>
      <w:pPr>
        <w:spacing w:before="0"/>
        <w:ind w:left="999" w:right="734" w:firstLine="0"/>
        <w:jc w:val="both"/>
        <w:rPr>
          <w:sz w:val="22"/>
        </w:rPr>
      </w:pPr>
      <w:r>
        <w:rPr>
          <w:sz w:val="22"/>
        </w:rPr>
        <w:t>To request an instructor contact Shawn Weagle at Portland NWS Forecast Office at (503) 326- 2420 or by email at </w:t>
      </w:r>
      <w:hyperlink r:id="rId89">
        <w:r>
          <w:rPr>
            <w:color w:val="0000FF"/>
            <w:sz w:val="22"/>
            <w:u w:val="single" w:color="0000FF"/>
          </w:rPr>
          <w:t>shawn.weagle@noaa.gov</w:t>
        </w:r>
        <w:r>
          <w:rPr>
            <w:sz w:val="22"/>
          </w:rPr>
          <w:t>.</w:t>
        </w:r>
      </w:hyperlink>
    </w:p>
    <w:p>
      <w:pPr>
        <w:pStyle w:val="BodyText"/>
        <w:rPr>
          <w:sz w:val="20"/>
        </w:rPr>
      </w:pPr>
    </w:p>
    <w:p>
      <w:pPr>
        <w:pStyle w:val="BodyText"/>
        <w:spacing w:before="8"/>
        <w:rPr>
          <w:sz w:val="23"/>
        </w:rPr>
      </w:pPr>
    </w:p>
    <w:p>
      <w:pPr>
        <w:spacing w:before="0"/>
        <w:ind w:left="999" w:right="0" w:firstLine="0"/>
        <w:jc w:val="left"/>
        <w:rPr>
          <w:b/>
          <w:sz w:val="22"/>
        </w:rPr>
      </w:pPr>
      <w:r>
        <w:rPr>
          <w:b/>
          <w:sz w:val="22"/>
          <w:u w:val="thick"/>
        </w:rPr>
        <w:t>SOCIAL MEDIA</w:t>
      </w:r>
    </w:p>
    <w:p>
      <w:pPr>
        <w:pStyle w:val="BodyText"/>
        <w:spacing w:before="1"/>
        <w:rPr>
          <w:b/>
          <w:sz w:val="14"/>
        </w:rPr>
      </w:pPr>
    </w:p>
    <w:p>
      <w:pPr>
        <w:spacing w:before="94"/>
        <w:ind w:left="999" w:right="143" w:firstLine="0"/>
        <w:jc w:val="left"/>
        <w:rPr>
          <w:sz w:val="22"/>
        </w:rPr>
      </w:pPr>
      <w:r>
        <w:rPr>
          <w:sz w:val="22"/>
        </w:rPr>
        <w:t>NWS Portland has a Facebook page, Twitter account, and YouTube Channel. The Office Twitter webpage is:</w:t>
      </w:r>
    </w:p>
    <w:p>
      <w:pPr>
        <w:pStyle w:val="BodyText"/>
        <w:spacing w:before="11"/>
        <w:rPr>
          <w:sz w:val="21"/>
        </w:rPr>
      </w:pPr>
    </w:p>
    <w:p>
      <w:pPr>
        <w:spacing w:before="0"/>
        <w:ind w:left="999" w:right="0" w:firstLine="0"/>
        <w:jc w:val="left"/>
        <w:rPr>
          <w:sz w:val="22"/>
        </w:rPr>
      </w:pPr>
      <w:hyperlink r:id="rId82">
        <w:r>
          <w:rPr>
            <w:color w:val="0000FF"/>
            <w:sz w:val="22"/>
            <w:u w:val="single" w:color="0000FF"/>
          </w:rPr>
          <w:t>Twitter webpage</w:t>
        </w:r>
      </w:hyperlink>
    </w:p>
    <w:p>
      <w:pPr>
        <w:pStyle w:val="BodyText"/>
        <w:spacing w:before="8"/>
        <w:rPr>
          <w:sz w:val="13"/>
        </w:rPr>
      </w:pPr>
    </w:p>
    <w:p>
      <w:pPr>
        <w:spacing w:before="93"/>
        <w:ind w:left="999" w:right="0" w:firstLine="0"/>
        <w:jc w:val="left"/>
        <w:rPr>
          <w:b/>
          <w:sz w:val="22"/>
        </w:rPr>
      </w:pPr>
      <w:r>
        <w:rPr>
          <w:sz w:val="22"/>
        </w:rPr>
        <w:t>The Office Twitter handle is: </w:t>
      </w:r>
      <w:r>
        <w:rPr>
          <w:b/>
          <w:sz w:val="22"/>
        </w:rPr>
        <w:t>@NWSPortland</w:t>
      </w:r>
    </w:p>
    <w:p>
      <w:pPr>
        <w:spacing w:after="0"/>
        <w:jc w:val="left"/>
        <w:rPr>
          <w:sz w:val="22"/>
        </w:rPr>
        <w:sectPr>
          <w:pgSz w:w="12240" w:h="15840"/>
          <w:pgMar w:header="0" w:footer="968" w:top="1280" w:bottom="1240" w:left="340" w:right="620"/>
        </w:sectPr>
      </w:pPr>
    </w:p>
    <w:p>
      <w:pPr>
        <w:spacing w:before="78"/>
        <w:ind w:left="999" w:right="737" w:firstLine="0"/>
        <w:jc w:val="both"/>
        <w:rPr>
          <w:sz w:val="22"/>
        </w:rPr>
      </w:pPr>
      <w:r>
        <w:rPr>
          <w:sz w:val="22"/>
        </w:rPr>
        <w:t>A YouTube weather briefing may be available during critical fire weather events. Web links to these briefings will be disseminated to users when applicable.</w:t>
      </w:r>
    </w:p>
    <w:p>
      <w:pPr>
        <w:pStyle w:val="BodyText"/>
        <w:spacing w:before="11"/>
        <w:rPr>
          <w:sz w:val="21"/>
        </w:rPr>
      </w:pPr>
    </w:p>
    <w:p>
      <w:pPr>
        <w:spacing w:before="0"/>
        <w:ind w:left="999" w:right="738" w:firstLine="0"/>
        <w:jc w:val="both"/>
        <w:rPr>
          <w:sz w:val="22"/>
        </w:rPr>
      </w:pPr>
      <w:r>
        <w:rPr>
          <w:sz w:val="22"/>
        </w:rPr>
        <w:t>Information about current Fire Weather may be included in these social media feeds, but such information is intended as supplemental information for the general public; it is not intended to meet the specialized needs of the wildland firefighting community.</w:t>
      </w:r>
    </w:p>
    <w:p>
      <w:pPr>
        <w:spacing w:after="0"/>
        <w:jc w:val="both"/>
        <w:rPr>
          <w:sz w:val="22"/>
        </w:rPr>
        <w:sectPr>
          <w:pgSz w:w="12240" w:h="15840"/>
          <w:pgMar w:header="0" w:footer="968" w:top="1280" w:bottom="1240" w:left="340" w:right="620"/>
        </w:sectPr>
      </w:pPr>
    </w:p>
    <w:p>
      <w:pPr>
        <w:pStyle w:val="Heading5"/>
        <w:spacing w:before="70"/>
        <w:rPr>
          <w:u w:val="none"/>
        </w:rPr>
      </w:pPr>
      <w:bookmarkStart w:name="PORTLAND FIRE WEATHER ZONES" w:id="82"/>
      <w:bookmarkEnd w:id="82"/>
      <w:r>
        <w:rPr>
          <w:b w:val="0"/>
          <w:u w:val="none"/>
        </w:rPr>
      </w:r>
      <w:r>
        <w:rPr>
          <w:u w:val="thick"/>
        </w:rPr>
        <w:t>PORTLAND FIRE WEATHER ZONES</w:t>
      </w:r>
    </w:p>
    <w:p>
      <w:pPr>
        <w:pStyle w:val="BodyText"/>
        <w:rPr>
          <w:b/>
          <w:sz w:val="20"/>
        </w:rPr>
      </w:pPr>
    </w:p>
    <w:p>
      <w:pPr>
        <w:pStyle w:val="BodyText"/>
        <w:spacing w:before="4"/>
        <w:rPr>
          <w:b/>
          <w:sz w:val="22"/>
        </w:rPr>
      </w:pPr>
      <w:r>
        <w:rPr/>
        <w:drawing>
          <wp:anchor distT="0" distB="0" distL="0" distR="0" allowOverlap="1" layoutInCell="1" locked="0" behindDoc="0" simplePos="0" relativeHeight="1360">
            <wp:simplePos x="0" y="0"/>
            <wp:positionH relativeFrom="page">
              <wp:posOffset>914400</wp:posOffset>
            </wp:positionH>
            <wp:positionV relativeFrom="paragraph">
              <wp:posOffset>187992</wp:posOffset>
            </wp:positionV>
            <wp:extent cx="5341131" cy="6547484"/>
            <wp:effectExtent l="0" t="0" r="0" b="0"/>
            <wp:wrapTopAndBottom/>
            <wp:docPr id="31" name="image17.jpeg" descr=""/>
            <wp:cNvGraphicFramePr>
              <a:graphicFrameLocks noChangeAspect="1"/>
            </wp:cNvGraphicFramePr>
            <a:graphic>
              <a:graphicData uri="http://schemas.openxmlformats.org/drawingml/2006/picture">
                <pic:pic>
                  <pic:nvPicPr>
                    <pic:cNvPr id="32" name="image17.jpeg"/>
                    <pic:cNvPicPr/>
                  </pic:nvPicPr>
                  <pic:blipFill>
                    <a:blip r:embed="rId91" cstate="print"/>
                    <a:stretch>
                      <a:fillRect/>
                    </a:stretch>
                  </pic:blipFill>
                  <pic:spPr>
                    <a:xfrm>
                      <a:off x="0" y="0"/>
                      <a:ext cx="5341131" cy="6547484"/>
                    </a:xfrm>
                    <a:prstGeom prst="rect">
                      <a:avLst/>
                    </a:prstGeom>
                  </pic:spPr>
                </pic:pic>
              </a:graphicData>
            </a:graphic>
          </wp:anchor>
        </w:drawing>
      </w:r>
    </w:p>
    <w:p>
      <w:pPr>
        <w:spacing w:after="0"/>
        <w:rPr>
          <w:sz w:val="22"/>
        </w:rPr>
        <w:sectPr>
          <w:footerReference w:type="default" r:id="rId90"/>
          <w:pgSz w:w="12240" w:h="15840"/>
          <w:pgMar w:footer="968" w:header="0" w:top="1360" w:bottom="1160" w:left="340" w:right="620"/>
          <w:pgNumType w:start="50"/>
        </w:sectPr>
      </w:pPr>
    </w:p>
    <w:p>
      <w:pPr>
        <w:pStyle w:val="Heading8"/>
        <w:spacing w:before="75"/>
      </w:pPr>
      <w:bookmarkStart w:name="GEOGRAPHIC ZONE DESCRIPTIONS" w:id="83"/>
      <w:bookmarkEnd w:id="83"/>
      <w:r>
        <w:rPr>
          <w:b w:val="0"/>
        </w:rPr>
      </w:r>
      <w:r>
        <w:rPr/>
        <w:t>GEOGRAPHIC ZONE DESCRIPTIONS</w:t>
      </w:r>
    </w:p>
    <w:p>
      <w:pPr>
        <w:pStyle w:val="BodyText"/>
        <w:spacing w:before="9"/>
        <w:rPr>
          <w:b/>
          <w:sz w:val="23"/>
        </w:rPr>
      </w:pPr>
    </w:p>
    <w:p>
      <w:pPr>
        <w:pStyle w:val="Heading9"/>
        <w:spacing w:before="1"/>
        <w:rPr>
          <w:i/>
          <w:u w:val="none"/>
        </w:rPr>
      </w:pPr>
      <w:bookmarkStart w:name="Zone 601 – North Oregon Coast" w:id="84"/>
      <w:bookmarkEnd w:id="84"/>
      <w:r>
        <w:rPr>
          <w:b w:val="0"/>
          <w:i w:val="0"/>
          <w:u w:val="none"/>
        </w:rPr>
      </w:r>
      <w:r>
        <w:rPr>
          <w:i/>
          <w:u w:val="thick"/>
        </w:rPr>
        <w:t>Zone 601 – North Oregon Coast</w:t>
      </w:r>
    </w:p>
    <w:p>
      <w:pPr>
        <w:pStyle w:val="BodyText"/>
        <w:ind w:left="1100" w:right="821"/>
      </w:pPr>
      <w:r>
        <w:rPr/>
        <w:t>Represents the North Oregon coastal strip including adjacent west slopes of the Oregon Coast Range. This zone includes the north portion of the Siuslaw N.F. and ODF protected private land.</w:t>
      </w:r>
    </w:p>
    <w:p>
      <w:pPr>
        <w:pStyle w:val="BodyText"/>
        <w:spacing w:before="11"/>
        <w:rPr>
          <w:sz w:val="23"/>
        </w:rPr>
      </w:pPr>
    </w:p>
    <w:p>
      <w:pPr>
        <w:pStyle w:val="BodyText"/>
        <w:ind w:left="1100" w:right="1221"/>
      </w:pPr>
      <w:r>
        <w:rPr/>
        <w:t>Extends east-west from the crest of the Oregon Coast Range to the Pacific Ocean. Extends north-south from the Columbia River to Oregon State Highway 22 along the eastern boundary of ODF regulated use area NW-2.</w:t>
      </w:r>
    </w:p>
    <w:p>
      <w:pPr>
        <w:pStyle w:val="BodyText"/>
      </w:pPr>
    </w:p>
    <w:p>
      <w:pPr>
        <w:pStyle w:val="Heading9"/>
        <w:rPr>
          <w:i/>
          <w:u w:val="none"/>
        </w:rPr>
      </w:pPr>
      <w:bookmarkStart w:name="Zone 664 – South Washington Coast includ" w:id="85"/>
      <w:bookmarkEnd w:id="85"/>
      <w:r>
        <w:rPr>
          <w:b w:val="0"/>
          <w:i w:val="0"/>
          <w:u w:val="none"/>
        </w:rPr>
      </w:r>
      <w:r>
        <w:rPr>
          <w:i/>
          <w:u w:val="thick"/>
        </w:rPr>
        <w:t>Zone 664 – South Washington Coast including the West Willapa Hills</w:t>
      </w:r>
    </w:p>
    <w:p>
      <w:pPr>
        <w:pStyle w:val="BodyText"/>
        <w:ind w:left="1100" w:right="968"/>
      </w:pPr>
      <w:r>
        <w:rPr/>
        <w:t>Represents the South Washington coastal strip, including adjacent west slopes of the Willapa Hills. The boundary extends from the Columbia River then north to encompass Pacific County. The zone extends east to include Wahkiahkum County.</w:t>
      </w:r>
    </w:p>
    <w:p>
      <w:pPr>
        <w:pStyle w:val="BodyText"/>
      </w:pPr>
    </w:p>
    <w:p>
      <w:pPr>
        <w:pStyle w:val="Heading9"/>
        <w:rPr>
          <w:i/>
          <w:u w:val="none"/>
        </w:rPr>
      </w:pPr>
      <w:bookmarkStart w:name="Zone 612 – Central Oregon Coast" w:id="86"/>
      <w:bookmarkEnd w:id="86"/>
      <w:r>
        <w:rPr>
          <w:b w:val="0"/>
          <w:i w:val="0"/>
          <w:u w:val="none"/>
        </w:rPr>
      </w:r>
      <w:r>
        <w:rPr>
          <w:i/>
          <w:u w:val="thick"/>
        </w:rPr>
        <w:t>Zone 612 – Central Oregon Coast</w:t>
      </w:r>
    </w:p>
    <w:p>
      <w:pPr>
        <w:pStyle w:val="BodyText"/>
        <w:ind w:left="1100" w:right="1501"/>
      </w:pPr>
      <w:r>
        <w:rPr/>
        <w:t>Represents the Central Oregon coastal strip including adjacent west slopes of the Oregon Coast Range. Includes southern portions of the Siuslaw N.F. and ODF protected private land.</w:t>
      </w:r>
    </w:p>
    <w:p>
      <w:pPr>
        <w:pStyle w:val="BodyText"/>
      </w:pPr>
    </w:p>
    <w:p>
      <w:pPr>
        <w:pStyle w:val="BodyText"/>
        <w:ind w:left="1100" w:right="1345"/>
        <w:jc w:val="both"/>
      </w:pPr>
      <w:r>
        <w:rPr/>
        <w:t>Extends east-west from the crest of the Oregon Coast Range to the Pacific Ocean. Extends north-south from Oregon State Highway 22 to the Umpqua River along the west edge of the Siuslaw National Forest including ODF regulated use area SL-2.</w:t>
      </w:r>
    </w:p>
    <w:p>
      <w:pPr>
        <w:pStyle w:val="BodyText"/>
      </w:pPr>
    </w:p>
    <w:p>
      <w:pPr>
        <w:pStyle w:val="Heading9"/>
        <w:spacing w:line="275" w:lineRule="exact" w:before="1"/>
        <w:rPr>
          <w:i/>
          <w:u w:val="none"/>
        </w:rPr>
      </w:pPr>
      <w:bookmarkStart w:name="Zone 602 – North Oregon Coast Range" w:id="87"/>
      <w:bookmarkEnd w:id="87"/>
      <w:r>
        <w:rPr>
          <w:b w:val="0"/>
          <w:i w:val="0"/>
          <w:u w:val="none"/>
        </w:rPr>
      </w:r>
      <w:r>
        <w:rPr>
          <w:i/>
          <w:u w:val="thick"/>
        </w:rPr>
        <w:t>Zone 602 – North Oregon Coast Range</w:t>
      </w:r>
    </w:p>
    <w:p>
      <w:pPr>
        <w:pStyle w:val="BodyText"/>
        <w:ind w:left="1100" w:right="1461"/>
      </w:pPr>
      <w:r>
        <w:rPr/>
        <w:t>Represents the east slopes of the North Oregon Coast Range. Mostly private land under ODF protection.</w:t>
      </w:r>
    </w:p>
    <w:p>
      <w:pPr>
        <w:pStyle w:val="BodyText"/>
        <w:spacing w:before="10"/>
        <w:rPr>
          <w:sz w:val="23"/>
        </w:rPr>
      </w:pPr>
    </w:p>
    <w:p>
      <w:pPr>
        <w:pStyle w:val="BodyText"/>
        <w:ind w:left="1100" w:right="940"/>
      </w:pPr>
      <w:r>
        <w:rPr/>
        <w:t>Bounded on the west by North Oregon Coast Range crest. Bounded on the east by the west periphery of the Willamette Valley and Columbia River. Extends north-south from the Columbia River to Oregon State Highway 22.</w:t>
      </w:r>
    </w:p>
    <w:p>
      <w:pPr>
        <w:pStyle w:val="BodyText"/>
      </w:pPr>
    </w:p>
    <w:p>
      <w:pPr>
        <w:pStyle w:val="Heading9"/>
        <w:rPr>
          <w:i/>
          <w:u w:val="none"/>
        </w:rPr>
      </w:pPr>
      <w:bookmarkStart w:name="Zone 665 – East Willapa Hills" w:id="88"/>
      <w:bookmarkEnd w:id="88"/>
      <w:r>
        <w:rPr>
          <w:b w:val="0"/>
          <w:i w:val="0"/>
          <w:u w:val="none"/>
        </w:rPr>
      </w:r>
      <w:r>
        <w:rPr>
          <w:i/>
          <w:u w:val="thick"/>
        </w:rPr>
        <w:t>Zone 665 – East Willapa Hills</w:t>
      </w:r>
    </w:p>
    <w:p>
      <w:pPr>
        <w:pStyle w:val="BodyText"/>
        <w:ind w:left="1100" w:right="967"/>
      </w:pPr>
      <w:r>
        <w:rPr/>
        <w:t>Represents mostly private land protected by DNR and covers the east slopes of the Willapa Hills. The zone includes western Cowlitz County, bounded on the north by the Cowlitz and Lewis county border. Bounded on the east along a line from near Toutle to Interstate 5 at Castle Rock. Bounded on the south by the Columbia River.</w:t>
      </w:r>
    </w:p>
    <w:p>
      <w:pPr>
        <w:pStyle w:val="BodyText"/>
      </w:pPr>
    </w:p>
    <w:p>
      <w:pPr>
        <w:pStyle w:val="Heading9"/>
        <w:rPr>
          <w:i/>
          <w:u w:val="none"/>
        </w:rPr>
      </w:pPr>
      <w:bookmarkStart w:name="Zone 603 – Central Oregon Coast Range" w:id="89"/>
      <w:bookmarkEnd w:id="89"/>
      <w:r>
        <w:rPr>
          <w:b w:val="0"/>
          <w:i w:val="0"/>
          <w:u w:val="none"/>
        </w:rPr>
      </w:r>
      <w:r>
        <w:rPr>
          <w:i/>
          <w:u w:val="thick"/>
        </w:rPr>
        <w:t>Zone 603 – Central Oregon Coast Range</w:t>
      </w:r>
    </w:p>
    <w:p>
      <w:pPr>
        <w:pStyle w:val="BodyText"/>
        <w:ind w:left="1100" w:right="1088"/>
      </w:pPr>
      <w:r>
        <w:rPr/>
        <w:t>Represents the east slopes of the Central Oregon coast range. Mostly ODF protected private land.</w:t>
      </w:r>
    </w:p>
    <w:p>
      <w:pPr>
        <w:pStyle w:val="BodyText"/>
      </w:pPr>
    </w:p>
    <w:p>
      <w:pPr>
        <w:pStyle w:val="BodyText"/>
        <w:ind w:left="1100" w:right="907"/>
      </w:pPr>
      <w:r>
        <w:rPr/>
        <w:t>Bounded on the west by the Coast Range crest. Bounded on the east by the western periphery of the Willamette Valley. The north boundary is along Oregon State Highway</w:t>
      </w:r>
    </w:p>
    <w:p>
      <w:pPr>
        <w:pStyle w:val="ListParagraph"/>
        <w:numPr>
          <w:ilvl w:val="0"/>
          <w:numId w:val="14"/>
        </w:numPr>
        <w:tabs>
          <w:tab w:pos="1566" w:val="left" w:leader="none"/>
        </w:tabs>
        <w:spacing w:line="240" w:lineRule="auto" w:before="0" w:after="0"/>
        <w:ind w:left="1565" w:right="0" w:hanging="465"/>
        <w:jc w:val="left"/>
        <w:rPr>
          <w:sz w:val="24"/>
        </w:rPr>
      </w:pPr>
      <w:r>
        <w:rPr>
          <w:sz w:val="24"/>
        </w:rPr>
        <w:t>The south boundary lies along Oregon State Highway</w:t>
      </w:r>
      <w:r>
        <w:rPr>
          <w:spacing w:val="-34"/>
          <w:sz w:val="24"/>
        </w:rPr>
        <w:t> </w:t>
      </w:r>
      <w:r>
        <w:rPr>
          <w:sz w:val="24"/>
        </w:rPr>
        <w:t>38.</w:t>
      </w:r>
    </w:p>
    <w:p>
      <w:pPr>
        <w:spacing w:after="0" w:line="240" w:lineRule="auto"/>
        <w:jc w:val="left"/>
        <w:rPr>
          <w:sz w:val="24"/>
        </w:rPr>
        <w:sectPr>
          <w:pgSz w:w="12240" w:h="15840"/>
          <w:pgMar w:header="0" w:footer="968" w:top="1360" w:bottom="1240" w:left="340" w:right="620"/>
        </w:sectPr>
      </w:pPr>
    </w:p>
    <w:p>
      <w:pPr>
        <w:pStyle w:val="BodyText"/>
        <w:spacing w:before="4"/>
        <w:rPr>
          <w:sz w:val="10"/>
        </w:rPr>
      </w:pPr>
    </w:p>
    <w:p>
      <w:pPr>
        <w:pStyle w:val="Heading9"/>
        <w:spacing w:line="275" w:lineRule="exact" w:before="92"/>
        <w:rPr>
          <w:i/>
          <w:u w:val="none"/>
        </w:rPr>
      </w:pPr>
      <w:bookmarkStart w:name="Zone 604 – Willamette Valley" w:id="90"/>
      <w:bookmarkEnd w:id="90"/>
      <w:r>
        <w:rPr>
          <w:b w:val="0"/>
          <w:i w:val="0"/>
          <w:u w:val="none"/>
        </w:rPr>
      </w:r>
      <w:r>
        <w:rPr>
          <w:i/>
          <w:u w:val="thick"/>
        </w:rPr>
        <w:t>Zone 604 – Willamette Valley</w:t>
      </w:r>
    </w:p>
    <w:p>
      <w:pPr>
        <w:pStyle w:val="BodyText"/>
        <w:ind w:left="1100" w:right="942"/>
      </w:pPr>
      <w:r>
        <w:rPr/>
        <w:t>Bounded on the west and east by the foothills of the Coast Range and Cascades. Extends north-south from the Columbia River to just south of Cottage Grove Reservoir.</w:t>
      </w:r>
    </w:p>
    <w:p>
      <w:pPr>
        <w:pStyle w:val="BodyText"/>
        <w:spacing w:before="11"/>
        <w:rPr>
          <w:sz w:val="23"/>
        </w:rPr>
      </w:pPr>
    </w:p>
    <w:p>
      <w:pPr>
        <w:pStyle w:val="Heading9"/>
        <w:rPr>
          <w:i/>
          <w:u w:val="none"/>
        </w:rPr>
      </w:pPr>
      <w:bookmarkStart w:name="Zone 667 – Clark County Lowlands" w:id="91"/>
      <w:bookmarkEnd w:id="91"/>
      <w:r>
        <w:rPr>
          <w:b w:val="0"/>
          <w:i w:val="0"/>
          <w:u w:val="none"/>
        </w:rPr>
      </w:r>
      <w:r>
        <w:rPr>
          <w:i/>
          <w:u w:val="thick"/>
        </w:rPr>
        <w:t>Zone 667 – Clark County Lowlands</w:t>
      </w:r>
    </w:p>
    <w:p>
      <w:pPr>
        <w:pStyle w:val="BodyText"/>
        <w:ind w:left="1100" w:right="1007"/>
      </w:pPr>
      <w:r>
        <w:rPr/>
        <w:t>Bounded on the west by the Columbia River and on the east by the South Washington Cascade foothills. Extends north-south from Lewis County to the Columbia River.</w:t>
      </w:r>
    </w:p>
    <w:p>
      <w:pPr>
        <w:pStyle w:val="BodyText"/>
      </w:pPr>
    </w:p>
    <w:p>
      <w:pPr>
        <w:pStyle w:val="Heading9"/>
        <w:rPr>
          <w:i/>
          <w:u w:val="none"/>
        </w:rPr>
      </w:pPr>
      <w:bookmarkStart w:name="Zone 605 – North Oregon Cascade Foothill" w:id="92"/>
      <w:bookmarkEnd w:id="92"/>
      <w:r>
        <w:rPr>
          <w:b w:val="0"/>
          <w:i w:val="0"/>
          <w:u w:val="none"/>
        </w:rPr>
      </w:r>
      <w:r>
        <w:rPr>
          <w:i/>
          <w:u w:val="thick"/>
        </w:rPr>
        <w:t>Zone 605 – North Oregon Cascade Foothills</w:t>
      </w:r>
    </w:p>
    <w:p>
      <w:pPr>
        <w:pStyle w:val="BodyText"/>
        <w:ind w:left="1100" w:right="1235"/>
      </w:pPr>
      <w:r>
        <w:rPr/>
        <w:t>Represents foothill elevations of the North Oregon Cascades. Mostly ODF protected private land.</w:t>
      </w:r>
    </w:p>
    <w:p>
      <w:pPr>
        <w:pStyle w:val="BodyText"/>
      </w:pPr>
    </w:p>
    <w:p>
      <w:pPr>
        <w:pStyle w:val="BodyText"/>
        <w:ind w:left="1100" w:right="981"/>
      </w:pPr>
      <w:r>
        <w:rPr/>
        <w:t>Bounded by the east periphery of the Willamette Valley on the west and the National Forest boundary of the Mt. Hood and Willamette National Forests on the east. Extends from the Columbia River on the north, to the Crabtree Creek Divide, approximately 10 miles south of Oregon State Highway 22 (Santiam Highway) on the south.</w:t>
      </w:r>
    </w:p>
    <w:p>
      <w:pPr>
        <w:pStyle w:val="BodyText"/>
      </w:pPr>
    </w:p>
    <w:p>
      <w:pPr>
        <w:pStyle w:val="Heading9"/>
        <w:rPr>
          <w:i/>
          <w:u w:val="none"/>
        </w:rPr>
      </w:pPr>
      <w:bookmarkStart w:name="Zone 606 – Central Oregon Cascade Foothi" w:id="93"/>
      <w:bookmarkEnd w:id="93"/>
      <w:r>
        <w:rPr>
          <w:b w:val="0"/>
          <w:i w:val="0"/>
          <w:u w:val="none"/>
        </w:rPr>
      </w:r>
      <w:r>
        <w:rPr>
          <w:i/>
          <w:u w:val="thick"/>
        </w:rPr>
        <w:t>Zone 606 – Central Oregon Cascade Foothills</w:t>
      </w:r>
    </w:p>
    <w:p>
      <w:pPr>
        <w:pStyle w:val="BodyText"/>
        <w:ind w:left="1100" w:right="1715"/>
      </w:pPr>
      <w:r>
        <w:rPr/>
        <w:t>Represents the foothill elevations of the Central Oregon Cascades. Mostly ODF protected private land.</w:t>
      </w:r>
    </w:p>
    <w:p>
      <w:pPr>
        <w:pStyle w:val="BodyText"/>
      </w:pPr>
    </w:p>
    <w:p>
      <w:pPr>
        <w:pStyle w:val="BodyText"/>
        <w:ind w:left="1100" w:right="1021"/>
      </w:pPr>
      <w:r>
        <w:rPr/>
        <w:t>Bounded by the east periphery of the Willamette Valley on the west (Interstate 5 south of Eugene) and the Willamette Forest boundary, and extreme north Umpqua Forest boundary on the east. Extends from Crabtree Creek Divide roughly 10 miles south of Oregon State Highway 22 on the north to the Lane/Douglas county line on the south.</w:t>
      </w:r>
    </w:p>
    <w:p>
      <w:pPr>
        <w:pStyle w:val="BodyText"/>
      </w:pPr>
    </w:p>
    <w:p>
      <w:pPr>
        <w:pStyle w:val="Heading9"/>
        <w:rPr>
          <w:i/>
          <w:u w:val="none"/>
        </w:rPr>
      </w:pPr>
      <w:bookmarkStart w:name="Zone 607 – North Oregon Cascades" w:id="94"/>
      <w:bookmarkEnd w:id="94"/>
      <w:r>
        <w:rPr>
          <w:b w:val="0"/>
          <w:i w:val="0"/>
          <w:u w:val="none"/>
        </w:rPr>
      </w:r>
      <w:r>
        <w:rPr>
          <w:i/>
          <w:u w:val="thick"/>
        </w:rPr>
        <w:t>Zone 607 – North Oregon Cascades</w:t>
      </w:r>
    </w:p>
    <w:p>
      <w:pPr>
        <w:pStyle w:val="BodyText"/>
        <w:ind w:left="1100" w:right="1702"/>
      </w:pPr>
      <w:r>
        <w:rPr/>
        <w:t>Represents all of the Mt. Hood NF west of the Cascade Crest along with interior Cascade wilderness areas.</w:t>
      </w:r>
    </w:p>
    <w:p>
      <w:pPr>
        <w:pStyle w:val="BodyText"/>
      </w:pPr>
    </w:p>
    <w:p>
      <w:pPr>
        <w:pStyle w:val="BodyText"/>
        <w:ind w:left="1100" w:right="1114"/>
      </w:pPr>
      <w:r>
        <w:rPr/>
        <w:t>Bounded by the Columbia River on the north, the Cascade Crest on the east, and the Mt. Hood forest boundary on the south and west.</w:t>
      </w:r>
    </w:p>
    <w:p>
      <w:pPr>
        <w:pStyle w:val="BodyText"/>
      </w:pPr>
    </w:p>
    <w:p>
      <w:pPr>
        <w:pStyle w:val="Heading9"/>
        <w:rPr>
          <w:i/>
          <w:u w:val="none"/>
        </w:rPr>
      </w:pPr>
      <w:bookmarkStart w:name="Zone 608- Central Oregon Cascades" w:id="95"/>
      <w:bookmarkEnd w:id="95"/>
      <w:r>
        <w:rPr>
          <w:b w:val="0"/>
          <w:i w:val="0"/>
          <w:u w:val="none"/>
        </w:rPr>
      </w:r>
      <w:r>
        <w:rPr>
          <w:i/>
          <w:u w:val="thick"/>
        </w:rPr>
        <w:t>Zone 608- Central Oregon Cascades</w:t>
      </w:r>
    </w:p>
    <w:p>
      <w:pPr>
        <w:pStyle w:val="BodyText"/>
        <w:ind w:left="1100" w:right="862"/>
      </w:pPr>
      <w:r>
        <w:rPr/>
        <w:t>Represents the Willamette NF in its entirety along with interior high Cascade wilderness areas.</w:t>
      </w:r>
    </w:p>
    <w:p>
      <w:pPr>
        <w:pStyle w:val="BodyText"/>
      </w:pPr>
    </w:p>
    <w:p>
      <w:pPr>
        <w:pStyle w:val="BodyText"/>
        <w:spacing w:before="1"/>
        <w:ind w:left="1100" w:right="967"/>
      </w:pPr>
      <w:r>
        <w:rPr/>
        <w:t>Bounded by the Cascade Crest on the east and the Willamette Forest boundary on the south, west, and north.</w:t>
      </w:r>
    </w:p>
    <w:p>
      <w:pPr>
        <w:pStyle w:val="BodyText"/>
        <w:spacing w:before="11"/>
        <w:rPr>
          <w:sz w:val="23"/>
        </w:rPr>
      </w:pPr>
    </w:p>
    <w:p>
      <w:pPr>
        <w:pStyle w:val="Heading9"/>
        <w:rPr>
          <w:i/>
          <w:u w:val="none"/>
        </w:rPr>
      </w:pPr>
      <w:bookmarkStart w:name="Zone 660 – South Washington Cascades and" w:id="96"/>
      <w:bookmarkEnd w:id="96"/>
      <w:r>
        <w:rPr>
          <w:b w:val="0"/>
          <w:i w:val="0"/>
          <w:u w:val="none"/>
        </w:rPr>
      </w:r>
      <w:r>
        <w:rPr>
          <w:i/>
          <w:u w:val="thick"/>
        </w:rPr>
        <w:t>Zone 660 – South Washington Cascades and Foothills</w:t>
      </w:r>
    </w:p>
    <w:p>
      <w:pPr>
        <w:pStyle w:val="BodyText"/>
        <w:ind w:left="1100" w:right="1102"/>
      </w:pPr>
      <w:r>
        <w:rPr/>
        <w:t>Represents the Wind River and St. Helens Ranger Districts of the Gifford Pinchot NF, as well as adjacent Washington state DNR protected Cascade and Green Mountain</w:t>
      </w:r>
    </w:p>
    <w:p>
      <w:pPr>
        <w:spacing w:after="0"/>
        <w:sectPr>
          <w:pgSz w:w="12240" w:h="15840"/>
          <w:pgMar w:header="0" w:footer="968" w:top="1500" w:bottom="1240" w:left="340" w:right="620"/>
        </w:sectPr>
      </w:pPr>
    </w:p>
    <w:p>
      <w:pPr>
        <w:pStyle w:val="BodyText"/>
        <w:spacing w:line="237" w:lineRule="auto" w:before="78"/>
        <w:ind w:left="1100" w:right="808"/>
      </w:pPr>
      <w:r>
        <w:rPr/>
        <w:t>foothills to the south and west. This zone excludes the Columbia River lowlands of Clark County, WA and much of the Mt. Adams Ranger District.</w:t>
      </w:r>
    </w:p>
    <w:p>
      <w:pPr>
        <w:pStyle w:val="BodyText"/>
      </w:pPr>
    </w:p>
    <w:p>
      <w:pPr>
        <w:pStyle w:val="BodyText"/>
        <w:spacing w:before="1"/>
        <w:ind w:left="1100" w:right="854"/>
      </w:pPr>
      <w:r>
        <w:rPr/>
        <w:t>Bounded on the east by the Gifford Pinchot forest boundary to the Indian Heaven Wilderness. The zone also includes the northeast peninsula north of Mt. Adams to the southeast boundary of FWZ659 and the northwest boundary of FWZ681. The southeast boundary follows the Columbia River west to the Clark County, WA line. The north and northwest boundary follows the contour of the Cascade Foothills to the Lewis River, then west along the Lewis River to the Columbia River. The zone boundary follows the Columbia River to Kelso, WA. The north boundary extends from Kelso, WA northeast following the contour of the Green Mountain/Cascade foothills to the Lewis County line.</w:t>
      </w:r>
    </w:p>
    <w:p>
      <w:pPr>
        <w:pStyle w:val="BodyText"/>
      </w:pPr>
    </w:p>
    <w:p>
      <w:pPr>
        <w:pStyle w:val="Heading9"/>
        <w:rPr>
          <w:i/>
          <w:u w:val="none"/>
        </w:rPr>
      </w:pPr>
      <w:bookmarkStart w:name="Zone 663 – Eastern Gifford Pinchot inclu" w:id="97"/>
      <w:bookmarkEnd w:id="97"/>
      <w:r>
        <w:rPr>
          <w:b w:val="0"/>
          <w:i w:val="0"/>
          <w:u w:val="none"/>
        </w:rPr>
      </w:r>
      <w:r>
        <w:rPr>
          <w:i/>
          <w:u w:val="thick"/>
        </w:rPr>
        <w:t>Zone 663 – Eastern Gifford Pinchot including Mt. Adams District</w:t>
      </w:r>
    </w:p>
    <w:p>
      <w:pPr>
        <w:pStyle w:val="BodyText"/>
        <w:ind w:left="1100" w:right="940"/>
      </w:pPr>
      <w:r>
        <w:rPr/>
        <w:t>Represents much of the Mt. Adams Ranger District. Bounded north of the Columbia River Gorge, at the boundary of the Columbia Gorge Natural Scenic Area, directly opposite FWZ607 on the Oregon side and including the current south boundary of FWZ660. This zone starts near Augspurger Mtn. and then closely follows the Pacific Crest Trail (PCT) to the south flank of Mt. Adams. The boundary would lie along the west side of the Indian Haven Wilderness. The east boundary would be the existing zone 660 and neighboring WFO zones 639 and 681. The zone includes the community of Trout Lake and includes the Buck Creek RAWS station.</w:t>
      </w:r>
    </w:p>
    <w:p>
      <w:pPr>
        <w:pStyle w:val="BodyText"/>
        <w:spacing w:before="4"/>
      </w:pPr>
    </w:p>
    <w:tbl>
      <w:tblPr>
        <w:tblW w:w="0" w:type="auto"/>
        <w:jc w:val="left"/>
        <w:tblInd w:w="1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89"/>
        <w:gridCol w:w="1711"/>
        <w:gridCol w:w="629"/>
        <w:gridCol w:w="1080"/>
        <w:gridCol w:w="900"/>
        <w:gridCol w:w="900"/>
        <w:gridCol w:w="811"/>
        <w:gridCol w:w="1442"/>
      </w:tblGrid>
      <w:tr>
        <w:trPr>
          <w:trHeight w:val="688" w:hRule="atLeast"/>
        </w:trPr>
        <w:tc>
          <w:tcPr>
            <w:tcW w:w="893" w:type="dxa"/>
          </w:tcPr>
          <w:p>
            <w:pPr>
              <w:pStyle w:val="TableParagraph"/>
              <w:spacing w:before="1"/>
              <w:ind w:left="195" w:right="186"/>
              <w:jc w:val="center"/>
              <w:rPr>
                <w:rFonts w:ascii="Calibri"/>
                <w:b/>
                <w:sz w:val="20"/>
              </w:rPr>
            </w:pPr>
            <w:r>
              <w:rPr>
                <w:rFonts w:ascii="Calibri"/>
                <w:b/>
                <w:sz w:val="20"/>
              </w:rPr>
              <w:t>ZONE</w:t>
            </w:r>
          </w:p>
        </w:tc>
        <w:tc>
          <w:tcPr>
            <w:tcW w:w="989" w:type="dxa"/>
          </w:tcPr>
          <w:p>
            <w:pPr>
              <w:pStyle w:val="TableParagraph"/>
              <w:spacing w:before="1"/>
              <w:ind w:left="91" w:right="88"/>
              <w:jc w:val="center"/>
              <w:rPr>
                <w:rFonts w:ascii="Calibri"/>
                <w:b/>
                <w:sz w:val="20"/>
              </w:rPr>
            </w:pPr>
            <w:r>
              <w:rPr>
                <w:rFonts w:ascii="Calibri"/>
                <w:b/>
                <w:sz w:val="20"/>
              </w:rPr>
              <w:t>NUMBER</w:t>
            </w:r>
          </w:p>
        </w:tc>
        <w:tc>
          <w:tcPr>
            <w:tcW w:w="1711" w:type="dxa"/>
          </w:tcPr>
          <w:p>
            <w:pPr>
              <w:pStyle w:val="TableParagraph"/>
              <w:spacing w:before="1"/>
              <w:ind w:left="121" w:right="119"/>
              <w:jc w:val="center"/>
              <w:rPr>
                <w:rFonts w:ascii="Calibri"/>
                <w:b/>
                <w:sz w:val="20"/>
              </w:rPr>
            </w:pPr>
            <w:r>
              <w:rPr>
                <w:rFonts w:ascii="Calibri"/>
                <w:b/>
                <w:sz w:val="20"/>
              </w:rPr>
              <w:t>NAME</w:t>
            </w:r>
          </w:p>
        </w:tc>
        <w:tc>
          <w:tcPr>
            <w:tcW w:w="629" w:type="dxa"/>
          </w:tcPr>
          <w:p>
            <w:pPr>
              <w:pStyle w:val="TableParagraph"/>
              <w:spacing w:before="1"/>
              <w:ind w:left="89" w:right="82"/>
              <w:jc w:val="center"/>
              <w:rPr>
                <w:rFonts w:ascii="Calibri"/>
                <w:b/>
                <w:sz w:val="20"/>
              </w:rPr>
            </w:pPr>
            <w:r>
              <w:rPr>
                <w:rFonts w:ascii="Calibri"/>
                <w:b/>
                <w:sz w:val="20"/>
              </w:rPr>
              <w:t>TYPE</w:t>
            </w:r>
          </w:p>
        </w:tc>
        <w:tc>
          <w:tcPr>
            <w:tcW w:w="1080" w:type="dxa"/>
          </w:tcPr>
          <w:p>
            <w:pPr>
              <w:pStyle w:val="TableParagraph"/>
              <w:spacing w:before="1"/>
              <w:ind w:left="175" w:right="166"/>
              <w:jc w:val="center"/>
              <w:rPr>
                <w:rFonts w:ascii="Calibri"/>
                <w:b/>
                <w:sz w:val="20"/>
              </w:rPr>
            </w:pPr>
            <w:r>
              <w:rPr>
                <w:rFonts w:ascii="Calibri"/>
                <w:b/>
                <w:sz w:val="20"/>
              </w:rPr>
              <w:t>AGENCY</w:t>
            </w:r>
          </w:p>
        </w:tc>
        <w:tc>
          <w:tcPr>
            <w:tcW w:w="900" w:type="dxa"/>
          </w:tcPr>
          <w:p>
            <w:pPr>
              <w:pStyle w:val="TableParagraph"/>
              <w:spacing w:before="1"/>
              <w:ind w:right="288"/>
              <w:jc w:val="right"/>
              <w:rPr>
                <w:rFonts w:ascii="Calibri"/>
                <w:b/>
                <w:sz w:val="20"/>
              </w:rPr>
            </w:pPr>
            <w:r>
              <w:rPr>
                <w:rFonts w:ascii="Calibri"/>
                <w:b/>
                <w:w w:val="95"/>
                <w:sz w:val="20"/>
              </w:rPr>
              <w:t>LAT</w:t>
            </w:r>
          </w:p>
        </w:tc>
        <w:tc>
          <w:tcPr>
            <w:tcW w:w="900" w:type="dxa"/>
          </w:tcPr>
          <w:p>
            <w:pPr>
              <w:pStyle w:val="TableParagraph"/>
              <w:spacing w:before="1"/>
              <w:ind w:left="113" w:right="103"/>
              <w:jc w:val="center"/>
              <w:rPr>
                <w:rFonts w:ascii="Calibri"/>
                <w:b/>
                <w:sz w:val="20"/>
              </w:rPr>
            </w:pPr>
            <w:r>
              <w:rPr>
                <w:rFonts w:ascii="Calibri"/>
                <w:b/>
                <w:sz w:val="20"/>
              </w:rPr>
              <w:t>LON</w:t>
            </w:r>
          </w:p>
        </w:tc>
        <w:tc>
          <w:tcPr>
            <w:tcW w:w="811" w:type="dxa"/>
          </w:tcPr>
          <w:p>
            <w:pPr>
              <w:pStyle w:val="TableParagraph"/>
              <w:spacing w:before="1"/>
              <w:ind w:left="173" w:right="173"/>
              <w:jc w:val="center"/>
              <w:rPr>
                <w:rFonts w:ascii="Calibri"/>
                <w:b/>
                <w:sz w:val="20"/>
              </w:rPr>
            </w:pPr>
            <w:r>
              <w:rPr>
                <w:rFonts w:ascii="Calibri"/>
                <w:b/>
                <w:sz w:val="20"/>
              </w:rPr>
              <w:t>ELEV</w:t>
            </w:r>
          </w:p>
        </w:tc>
        <w:tc>
          <w:tcPr>
            <w:tcW w:w="1442" w:type="dxa"/>
          </w:tcPr>
          <w:p>
            <w:pPr>
              <w:pStyle w:val="TableParagraph"/>
              <w:spacing w:before="1"/>
              <w:ind w:left="90" w:right="85"/>
              <w:jc w:val="center"/>
              <w:rPr>
                <w:rFonts w:ascii="Calibri"/>
                <w:b/>
                <w:sz w:val="20"/>
              </w:rPr>
            </w:pPr>
            <w:r>
              <w:rPr>
                <w:rFonts w:ascii="Calibri"/>
                <w:b/>
                <w:sz w:val="20"/>
              </w:rPr>
              <w:t>ASPECT</w:t>
            </w:r>
          </w:p>
        </w:tc>
      </w:tr>
      <w:tr>
        <w:trPr>
          <w:trHeight w:val="690" w:hRule="atLeast"/>
        </w:trPr>
        <w:tc>
          <w:tcPr>
            <w:tcW w:w="893" w:type="dxa"/>
          </w:tcPr>
          <w:p>
            <w:pPr>
              <w:pStyle w:val="TableParagraph"/>
              <w:spacing w:before="196"/>
              <w:ind w:left="195" w:right="184"/>
              <w:jc w:val="center"/>
              <w:rPr>
                <w:rFonts w:ascii="Calibri"/>
                <w:b/>
                <w:sz w:val="24"/>
              </w:rPr>
            </w:pPr>
            <w:r>
              <w:rPr>
                <w:rFonts w:ascii="Calibri"/>
                <w:b/>
                <w:sz w:val="24"/>
              </w:rPr>
              <w:t>601</w:t>
            </w:r>
          </w:p>
        </w:tc>
        <w:tc>
          <w:tcPr>
            <w:tcW w:w="989" w:type="dxa"/>
          </w:tcPr>
          <w:p>
            <w:pPr>
              <w:pStyle w:val="TableParagraph"/>
              <w:spacing w:before="3"/>
              <w:rPr>
                <w:sz w:val="19"/>
              </w:rPr>
            </w:pPr>
          </w:p>
          <w:p>
            <w:pPr>
              <w:pStyle w:val="TableParagraph"/>
              <w:ind w:left="88" w:right="88"/>
              <w:jc w:val="center"/>
              <w:rPr>
                <w:rFonts w:ascii="Calibri"/>
                <w:sz w:val="20"/>
              </w:rPr>
            </w:pPr>
            <w:r>
              <w:rPr>
                <w:rFonts w:ascii="Calibri"/>
                <w:sz w:val="20"/>
              </w:rPr>
              <w:t>350208</w:t>
            </w:r>
          </w:p>
        </w:tc>
        <w:tc>
          <w:tcPr>
            <w:tcW w:w="1711" w:type="dxa"/>
          </w:tcPr>
          <w:p>
            <w:pPr>
              <w:pStyle w:val="TableParagraph"/>
              <w:spacing w:before="3"/>
              <w:rPr>
                <w:sz w:val="19"/>
              </w:rPr>
            </w:pPr>
          </w:p>
          <w:p>
            <w:pPr>
              <w:pStyle w:val="TableParagraph"/>
              <w:ind w:left="121" w:right="122"/>
              <w:jc w:val="center"/>
              <w:rPr>
                <w:rFonts w:ascii="Calibri"/>
                <w:sz w:val="20"/>
              </w:rPr>
            </w:pPr>
            <w:r>
              <w:rPr>
                <w:rFonts w:ascii="Calibri"/>
                <w:sz w:val="20"/>
              </w:rPr>
              <w:t>Tillamook</w:t>
            </w:r>
          </w:p>
        </w:tc>
        <w:tc>
          <w:tcPr>
            <w:tcW w:w="629" w:type="dxa"/>
          </w:tcPr>
          <w:p>
            <w:pPr>
              <w:pStyle w:val="TableParagraph"/>
              <w:spacing w:before="3"/>
              <w:rPr>
                <w:sz w:val="19"/>
              </w:rPr>
            </w:pPr>
          </w:p>
          <w:p>
            <w:pPr>
              <w:pStyle w:val="TableParagraph"/>
              <w:ind w:left="5"/>
              <w:jc w:val="center"/>
              <w:rPr>
                <w:rFonts w:ascii="Calibri"/>
                <w:sz w:val="20"/>
              </w:rPr>
            </w:pPr>
            <w:r>
              <w:rPr>
                <w:rFonts w:ascii="Calibri"/>
                <w:w w:val="98"/>
                <w:sz w:val="20"/>
              </w:rPr>
              <w:t>R</w:t>
            </w:r>
          </w:p>
        </w:tc>
        <w:tc>
          <w:tcPr>
            <w:tcW w:w="1080" w:type="dxa"/>
          </w:tcPr>
          <w:p>
            <w:pPr>
              <w:pStyle w:val="TableParagraph"/>
              <w:spacing w:before="3"/>
              <w:rPr>
                <w:sz w:val="19"/>
              </w:rPr>
            </w:pPr>
          </w:p>
          <w:p>
            <w:pPr>
              <w:pStyle w:val="TableParagraph"/>
              <w:ind w:left="174" w:right="166"/>
              <w:jc w:val="center"/>
              <w:rPr>
                <w:rFonts w:ascii="Calibri"/>
                <w:sz w:val="20"/>
              </w:rPr>
            </w:pPr>
            <w:r>
              <w:rPr>
                <w:rFonts w:ascii="Calibri"/>
                <w:sz w:val="20"/>
              </w:rPr>
              <w:t>ODF</w:t>
            </w:r>
          </w:p>
        </w:tc>
        <w:tc>
          <w:tcPr>
            <w:tcW w:w="900" w:type="dxa"/>
          </w:tcPr>
          <w:p>
            <w:pPr>
              <w:pStyle w:val="TableParagraph"/>
              <w:spacing w:before="3"/>
              <w:rPr>
                <w:sz w:val="19"/>
              </w:rPr>
            </w:pPr>
          </w:p>
          <w:p>
            <w:pPr>
              <w:pStyle w:val="TableParagraph"/>
              <w:ind w:right="209"/>
              <w:jc w:val="right"/>
              <w:rPr>
                <w:rFonts w:ascii="Calibri"/>
                <w:sz w:val="20"/>
              </w:rPr>
            </w:pPr>
            <w:r>
              <w:rPr>
                <w:rFonts w:ascii="Calibri"/>
                <w:w w:val="90"/>
                <w:sz w:val="20"/>
              </w:rPr>
              <w:t>45.26</w:t>
            </w:r>
          </w:p>
        </w:tc>
        <w:tc>
          <w:tcPr>
            <w:tcW w:w="900" w:type="dxa"/>
          </w:tcPr>
          <w:p>
            <w:pPr>
              <w:pStyle w:val="TableParagraph"/>
              <w:spacing w:before="3"/>
              <w:rPr>
                <w:sz w:val="19"/>
              </w:rPr>
            </w:pPr>
          </w:p>
          <w:p>
            <w:pPr>
              <w:pStyle w:val="TableParagraph"/>
              <w:ind w:left="113" w:right="109"/>
              <w:jc w:val="center"/>
              <w:rPr>
                <w:rFonts w:ascii="Calibri"/>
                <w:sz w:val="20"/>
              </w:rPr>
            </w:pPr>
            <w:r>
              <w:rPr>
                <w:rFonts w:ascii="Calibri"/>
                <w:sz w:val="20"/>
              </w:rPr>
              <w:t>-123.5</w:t>
            </w:r>
          </w:p>
        </w:tc>
        <w:tc>
          <w:tcPr>
            <w:tcW w:w="811" w:type="dxa"/>
          </w:tcPr>
          <w:p>
            <w:pPr>
              <w:pStyle w:val="TableParagraph"/>
              <w:spacing w:before="3"/>
              <w:rPr>
                <w:sz w:val="19"/>
              </w:rPr>
            </w:pPr>
          </w:p>
          <w:p>
            <w:pPr>
              <w:pStyle w:val="TableParagraph"/>
              <w:ind w:left="179" w:right="171"/>
              <w:jc w:val="center"/>
              <w:rPr>
                <w:rFonts w:ascii="Calibri"/>
                <w:sz w:val="20"/>
              </w:rPr>
            </w:pPr>
            <w:r>
              <w:rPr>
                <w:rFonts w:ascii="Calibri"/>
                <w:sz w:val="20"/>
              </w:rPr>
              <w:t>22</w:t>
            </w:r>
          </w:p>
        </w:tc>
        <w:tc>
          <w:tcPr>
            <w:tcW w:w="1442" w:type="dxa"/>
          </w:tcPr>
          <w:p>
            <w:pPr>
              <w:pStyle w:val="TableParagraph"/>
              <w:spacing w:before="3"/>
              <w:rPr>
                <w:sz w:val="19"/>
              </w:rPr>
            </w:pPr>
          </w:p>
          <w:p>
            <w:pPr>
              <w:pStyle w:val="TableParagraph"/>
              <w:ind w:left="89" w:right="85"/>
              <w:jc w:val="center"/>
              <w:rPr>
                <w:rFonts w:ascii="Calibri"/>
                <w:sz w:val="20"/>
              </w:rPr>
            </w:pPr>
            <w:r>
              <w:rPr>
                <w:rFonts w:ascii="Calibri"/>
                <w:sz w:val="20"/>
              </w:rPr>
              <w:t>Flat</w:t>
            </w:r>
          </w:p>
        </w:tc>
      </w:tr>
      <w:tr>
        <w:trPr>
          <w:trHeight w:val="690" w:hRule="atLeast"/>
        </w:trPr>
        <w:tc>
          <w:tcPr>
            <w:tcW w:w="893" w:type="dxa"/>
          </w:tcPr>
          <w:p>
            <w:pPr>
              <w:pStyle w:val="TableParagraph"/>
              <w:rPr>
                <w:rFonts w:ascii="Times New Roman"/>
                <w:sz w:val="22"/>
              </w:rPr>
            </w:pPr>
          </w:p>
        </w:tc>
        <w:tc>
          <w:tcPr>
            <w:tcW w:w="989" w:type="dxa"/>
          </w:tcPr>
          <w:p>
            <w:pPr>
              <w:pStyle w:val="TableParagraph"/>
              <w:spacing w:before="6"/>
              <w:rPr>
                <w:sz w:val="19"/>
              </w:rPr>
            </w:pPr>
          </w:p>
          <w:p>
            <w:pPr>
              <w:pStyle w:val="TableParagraph"/>
              <w:ind w:left="88" w:right="88"/>
              <w:jc w:val="center"/>
              <w:rPr>
                <w:rFonts w:ascii="Calibri"/>
                <w:sz w:val="20"/>
              </w:rPr>
            </w:pPr>
            <w:r>
              <w:rPr>
                <w:rFonts w:ascii="Calibri"/>
                <w:sz w:val="20"/>
              </w:rPr>
              <w:t>350215</w:t>
            </w:r>
          </w:p>
        </w:tc>
        <w:tc>
          <w:tcPr>
            <w:tcW w:w="1711" w:type="dxa"/>
          </w:tcPr>
          <w:p>
            <w:pPr>
              <w:pStyle w:val="TableParagraph"/>
              <w:spacing w:before="6"/>
              <w:rPr>
                <w:sz w:val="19"/>
              </w:rPr>
            </w:pPr>
          </w:p>
          <w:p>
            <w:pPr>
              <w:pStyle w:val="TableParagraph"/>
              <w:ind w:left="121" w:right="122"/>
              <w:jc w:val="center"/>
              <w:rPr>
                <w:rFonts w:ascii="Calibri"/>
                <w:sz w:val="20"/>
              </w:rPr>
            </w:pPr>
            <w:r>
              <w:rPr>
                <w:rFonts w:ascii="Calibri"/>
                <w:sz w:val="20"/>
              </w:rPr>
              <w:t>Cedar Creek</w:t>
            </w:r>
          </w:p>
        </w:tc>
        <w:tc>
          <w:tcPr>
            <w:tcW w:w="629" w:type="dxa"/>
          </w:tcPr>
          <w:p>
            <w:pPr>
              <w:pStyle w:val="TableParagraph"/>
              <w:spacing w:before="6"/>
              <w:rPr>
                <w:sz w:val="19"/>
              </w:rPr>
            </w:pPr>
          </w:p>
          <w:p>
            <w:pPr>
              <w:pStyle w:val="TableParagraph"/>
              <w:ind w:left="5"/>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2" w:right="166"/>
              <w:jc w:val="center"/>
              <w:rPr>
                <w:rFonts w:ascii="Calibri"/>
                <w:sz w:val="20"/>
              </w:rPr>
            </w:pPr>
            <w:r>
              <w:rPr>
                <w:rFonts w:ascii="Calibri"/>
                <w:sz w:val="20"/>
              </w:rPr>
              <w:t>USFS</w:t>
            </w:r>
          </w:p>
        </w:tc>
        <w:tc>
          <w:tcPr>
            <w:tcW w:w="900" w:type="dxa"/>
          </w:tcPr>
          <w:p>
            <w:pPr>
              <w:pStyle w:val="TableParagraph"/>
              <w:spacing w:before="6"/>
              <w:rPr>
                <w:sz w:val="19"/>
              </w:rPr>
            </w:pPr>
          </w:p>
          <w:p>
            <w:pPr>
              <w:pStyle w:val="TableParagraph"/>
              <w:ind w:right="209"/>
              <w:jc w:val="right"/>
              <w:rPr>
                <w:rFonts w:ascii="Calibri"/>
                <w:sz w:val="20"/>
              </w:rPr>
            </w:pPr>
            <w:r>
              <w:rPr>
                <w:rFonts w:ascii="Calibri"/>
                <w:w w:val="90"/>
                <w:sz w:val="20"/>
              </w:rPr>
              <w:t>45.21</w:t>
            </w:r>
          </w:p>
        </w:tc>
        <w:tc>
          <w:tcPr>
            <w:tcW w:w="900" w:type="dxa"/>
          </w:tcPr>
          <w:p>
            <w:pPr>
              <w:pStyle w:val="TableParagraph"/>
              <w:spacing w:before="6"/>
              <w:rPr>
                <w:sz w:val="19"/>
              </w:rPr>
            </w:pPr>
          </w:p>
          <w:p>
            <w:pPr>
              <w:pStyle w:val="TableParagraph"/>
              <w:ind w:left="113" w:right="109"/>
              <w:jc w:val="center"/>
              <w:rPr>
                <w:rFonts w:ascii="Calibri"/>
                <w:sz w:val="20"/>
              </w:rPr>
            </w:pPr>
            <w:r>
              <w:rPr>
                <w:rFonts w:ascii="Calibri"/>
                <w:sz w:val="20"/>
              </w:rPr>
              <w:t>-123.77</w:t>
            </w:r>
          </w:p>
        </w:tc>
        <w:tc>
          <w:tcPr>
            <w:tcW w:w="811" w:type="dxa"/>
          </w:tcPr>
          <w:p>
            <w:pPr>
              <w:pStyle w:val="TableParagraph"/>
              <w:spacing w:before="6"/>
              <w:rPr>
                <w:sz w:val="19"/>
              </w:rPr>
            </w:pPr>
          </w:p>
          <w:p>
            <w:pPr>
              <w:pStyle w:val="TableParagraph"/>
              <w:ind w:left="179" w:right="171"/>
              <w:jc w:val="center"/>
              <w:rPr>
                <w:rFonts w:ascii="Calibri"/>
                <w:sz w:val="20"/>
              </w:rPr>
            </w:pPr>
            <w:r>
              <w:rPr>
                <w:rFonts w:ascii="Calibri"/>
                <w:sz w:val="20"/>
              </w:rPr>
              <w:t>2240</w:t>
            </w:r>
          </w:p>
        </w:tc>
        <w:tc>
          <w:tcPr>
            <w:tcW w:w="1442" w:type="dxa"/>
          </w:tcPr>
          <w:p>
            <w:pPr>
              <w:pStyle w:val="TableParagraph"/>
              <w:spacing w:before="6"/>
              <w:rPr>
                <w:sz w:val="19"/>
              </w:rPr>
            </w:pPr>
          </w:p>
          <w:p>
            <w:pPr>
              <w:pStyle w:val="TableParagraph"/>
              <w:ind w:left="86" w:right="85"/>
              <w:jc w:val="center"/>
              <w:rPr>
                <w:rFonts w:ascii="Calibri"/>
                <w:sz w:val="20"/>
              </w:rPr>
            </w:pPr>
            <w:r>
              <w:rPr>
                <w:rFonts w:ascii="Calibri"/>
                <w:sz w:val="20"/>
              </w:rPr>
              <w:t>Ridgetop</w:t>
            </w:r>
          </w:p>
        </w:tc>
      </w:tr>
      <w:tr>
        <w:trPr>
          <w:trHeight w:val="688" w:hRule="atLeast"/>
        </w:trPr>
        <w:tc>
          <w:tcPr>
            <w:tcW w:w="893" w:type="dxa"/>
          </w:tcPr>
          <w:p>
            <w:pPr>
              <w:pStyle w:val="TableParagraph"/>
              <w:spacing w:before="196"/>
              <w:ind w:left="195" w:right="184"/>
              <w:jc w:val="center"/>
              <w:rPr>
                <w:rFonts w:ascii="Calibri"/>
                <w:b/>
                <w:sz w:val="24"/>
              </w:rPr>
            </w:pPr>
            <w:r>
              <w:rPr>
                <w:rFonts w:ascii="Calibri"/>
                <w:b/>
                <w:sz w:val="24"/>
              </w:rPr>
              <w:t>664</w:t>
            </w:r>
          </w:p>
        </w:tc>
        <w:tc>
          <w:tcPr>
            <w:tcW w:w="989" w:type="dxa"/>
          </w:tcPr>
          <w:p>
            <w:pPr>
              <w:pStyle w:val="TableParagraph"/>
              <w:spacing w:before="6"/>
              <w:rPr>
                <w:sz w:val="19"/>
              </w:rPr>
            </w:pPr>
          </w:p>
          <w:p>
            <w:pPr>
              <w:pStyle w:val="TableParagraph"/>
              <w:ind w:left="88" w:right="88"/>
              <w:jc w:val="center"/>
              <w:rPr>
                <w:rFonts w:ascii="Calibri"/>
                <w:sz w:val="20"/>
              </w:rPr>
            </w:pPr>
            <w:r>
              <w:rPr>
                <w:rFonts w:ascii="Calibri"/>
                <w:sz w:val="20"/>
              </w:rPr>
              <w:t>450404</w:t>
            </w:r>
          </w:p>
        </w:tc>
        <w:tc>
          <w:tcPr>
            <w:tcW w:w="1711" w:type="dxa"/>
          </w:tcPr>
          <w:p>
            <w:pPr>
              <w:pStyle w:val="TableParagraph"/>
              <w:spacing w:before="6"/>
              <w:rPr>
                <w:sz w:val="19"/>
              </w:rPr>
            </w:pPr>
          </w:p>
          <w:p>
            <w:pPr>
              <w:pStyle w:val="TableParagraph"/>
              <w:ind w:left="121" w:right="118"/>
              <w:jc w:val="center"/>
              <w:rPr>
                <w:rFonts w:ascii="Calibri"/>
                <w:sz w:val="20"/>
              </w:rPr>
            </w:pPr>
            <w:r>
              <w:rPr>
                <w:rFonts w:ascii="Calibri"/>
                <w:sz w:val="20"/>
              </w:rPr>
              <w:t>Willapa</w:t>
            </w:r>
          </w:p>
        </w:tc>
        <w:tc>
          <w:tcPr>
            <w:tcW w:w="629" w:type="dxa"/>
          </w:tcPr>
          <w:p>
            <w:pPr>
              <w:pStyle w:val="TableParagraph"/>
              <w:spacing w:before="6"/>
              <w:rPr>
                <w:sz w:val="19"/>
              </w:rPr>
            </w:pPr>
          </w:p>
          <w:p>
            <w:pPr>
              <w:pStyle w:val="TableParagraph"/>
              <w:ind w:left="4"/>
              <w:jc w:val="center"/>
              <w:rPr>
                <w:rFonts w:ascii="Calibri"/>
                <w:sz w:val="20"/>
              </w:rPr>
            </w:pPr>
            <w:r>
              <w:rPr>
                <w:rFonts w:ascii="Calibri"/>
                <w:w w:val="98"/>
                <w:sz w:val="20"/>
              </w:rPr>
              <w:t>M</w:t>
            </w:r>
          </w:p>
        </w:tc>
        <w:tc>
          <w:tcPr>
            <w:tcW w:w="1080" w:type="dxa"/>
          </w:tcPr>
          <w:p>
            <w:pPr>
              <w:pStyle w:val="TableParagraph"/>
              <w:spacing w:before="6"/>
              <w:rPr>
                <w:sz w:val="19"/>
              </w:rPr>
            </w:pPr>
          </w:p>
          <w:p>
            <w:pPr>
              <w:pStyle w:val="TableParagraph"/>
              <w:ind w:left="175" w:right="162"/>
              <w:jc w:val="center"/>
              <w:rPr>
                <w:rFonts w:ascii="Calibri"/>
                <w:sz w:val="20"/>
              </w:rPr>
            </w:pPr>
            <w:r>
              <w:rPr>
                <w:rFonts w:ascii="Calibri"/>
                <w:sz w:val="20"/>
              </w:rPr>
              <w:t>DNR</w:t>
            </w:r>
          </w:p>
        </w:tc>
        <w:tc>
          <w:tcPr>
            <w:tcW w:w="900" w:type="dxa"/>
          </w:tcPr>
          <w:p>
            <w:pPr>
              <w:pStyle w:val="TableParagraph"/>
              <w:spacing w:before="6"/>
              <w:rPr>
                <w:sz w:val="19"/>
              </w:rPr>
            </w:pPr>
          </w:p>
          <w:p>
            <w:pPr>
              <w:pStyle w:val="TableParagraph"/>
              <w:ind w:right="261"/>
              <w:jc w:val="right"/>
              <w:rPr>
                <w:rFonts w:ascii="Calibri"/>
                <w:sz w:val="20"/>
              </w:rPr>
            </w:pPr>
            <w:r>
              <w:rPr>
                <w:rFonts w:ascii="Calibri"/>
                <w:w w:val="90"/>
                <w:sz w:val="20"/>
              </w:rPr>
              <w:t>46.6</w:t>
            </w:r>
          </w:p>
        </w:tc>
        <w:tc>
          <w:tcPr>
            <w:tcW w:w="900" w:type="dxa"/>
          </w:tcPr>
          <w:p>
            <w:pPr>
              <w:pStyle w:val="TableParagraph"/>
              <w:spacing w:before="6"/>
              <w:rPr>
                <w:sz w:val="19"/>
              </w:rPr>
            </w:pPr>
          </w:p>
          <w:p>
            <w:pPr>
              <w:pStyle w:val="TableParagraph"/>
              <w:ind w:left="113" w:right="109"/>
              <w:jc w:val="center"/>
              <w:rPr>
                <w:rFonts w:ascii="Calibri"/>
                <w:sz w:val="20"/>
              </w:rPr>
            </w:pPr>
            <w:r>
              <w:rPr>
                <w:rFonts w:ascii="Calibri"/>
                <w:sz w:val="20"/>
              </w:rPr>
              <w:t>-123.6</w:t>
            </w:r>
          </w:p>
        </w:tc>
        <w:tc>
          <w:tcPr>
            <w:tcW w:w="811" w:type="dxa"/>
          </w:tcPr>
          <w:p>
            <w:pPr>
              <w:pStyle w:val="TableParagraph"/>
              <w:spacing w:before="6"/>
              <w:rPr>
                <w:sz w:val="19"/>
              </w:rPr>
            </w:pPr>
          </w:p>
          <w:p>
            <w:pPr>
              <w:pStyle w:val="TableParagraph"/>
              <w:ind w:left="179" w:right="171"/>
              <w:jc w:val="center"/>
              <w:rPr>
                <w:rFonts w:ascii="Calibri"/>
                <w:sz w:val="20"/>
              </w:rPr>
            </w:pPr>
            <w:r>
              <w:rPr>
                <w:rFonts w:ascii="Calibri"/>
                <w:sz w:val="20"/>
              </w:rPr>
              <w:t>60</w:t>
            </w:r>
          </w:p>
        </w:tc>
        <w:tc>
          <w:tcPr>
            <w:tcW w:w="1442" w:type="dxa"/>
          </w:tcPr>
          <w:p>
            <w:pPr>
              <w:pStyle w:val="TableParagraph"/>
              <w:spacing w:before="6"/>
              <w:rPr>
                <w:sz w:val="19"/>
              </w:rPr>
            </w:pPr>
          </w:p>
          <w:p>
            <w:pPr>
              <w:pStyle w:val="TableParagraph"/>
              <w:ind w:left="90" w:right="84"/>
              <w:jc w:val="center"/>
              <w:rPr>
                <w:rFonts w:ascii="Calibri"/>
                <w:sz w:val="20"/>
              </w:rPr>
            </w:pPr>
            <w:r>
              <w:rPr>
                <w:rFonts w:ascii="Calibri"/>
                <w:sz w:val="20"/>
              </w:rPr>
              <w:t>W-in valley</w:t>
            </w:r>
          </w:p>
        </w:tc>
      </w:tr>
      <w:tr>
        <w:trPr>
          <w:trHeight w:val="690" w:hRule="atLeast"/>
        </w:trPr>
        <w:tc>
          <w:tcPr>
            <w:tcW w:w="893" w:type="dxa"/>
          </w:tcPr>
          <w:p>
            <w:pPr>
              <w:pStyle w:val="TableParagraph"/>
              <w:rPr>
                <w:rFonts w:ascii="Times New Roman"/>
                <w:sz w:val="22"/>
              </w:rPr>
            </w:pPr>
          </w:p>
        </w:tc>
        <w:tc>
          <w:tcPr>
            <w:tcW w:w="989" w:type="dxa"/>
          </w:tcPr>
          <w:p>
            <w:pPr>
              <w:pStyle w:val="TableParagraph"/>
              <w:spacing w:before="3"/>
              <w:rPr>
                <w:sz w:val="19"/>
              </w:rPr>
            </w:pPr>
          </w:p>
          <w:p>
            <w:pPr>
              <w:pStyle w:val="TableParagraph"/>
              <w:ind w:left="88" w:right="88"/>
              <w:jc w:val="center"/>
              <w:rPr>
                <w:rFonts w:ascii="Calibri"/>
                <w:sz w:val="20"/>
              </w:rPr>
            </w:pPr>
            <w:r>
              <w:rPr>
                <w:rFonts w:ascii="Calibri"/>
                <w:sz w:val="20"/>
              </w:rPr>
              <w:t>450407</w:t>
            </w:r>
          </w:p>
        </w:tc>
        <w:tc>
          <w:tcPr>
            <w:tcW w:w="1711" w:type="dxa"/>
          </w:tcPr>
          <w:p>
            <w:pPr>
              <w:pStyle w:val="TableParagraph"/>
              <w:spacing w:before="3"/>
              <w:rPr>
                <w:sz w:val="19"/>
              </w:rPr>
            </w:pPr>
          </w:p>
          <w:p>
            <w:pPr>
              <w:pStyle w:val="TableParagraph"/>
              <w:ind w:left="121" w:right="121"/>
              <w:jc w:val="center"/>
              <w:rPr>
                <w:rFonts w:ascii="Calibri"/>
                <w:sz w:val="20"/>
              </w:rPr>
            </w:pPr>
            <w:r>
              <w:rPr>
                <w:rFonts w:ascii="Calibri"/>
                <w:sz w:val="20"/>
              </w:rPr>
              <w:t>Huckleberry</w:t>
            </w:r>
          </w:p>
        </w:tc>
        <w:tc>
          <w:tcPr>
            <w:tcW w:w="629" w:type="dxa"/>
          </w:tcPr>
          <w:p>
            <w:pPr>
              <w:pStyle w:val="TableParagraph"/>
              <w:spacing w:before="3"/>
              <w:rPr>
                <w:sz w:val="19"/>
              </w:rPr>
            </w:pPr>
          </w:p>
          <w:p>
            <w:pPr>
              <w:pStyle w:val="TableParagraph"/>
              <w:ind w:left="5"/>
              <w:jc w:val="center"/>
              <w:rPr>
                <w:rFonts w:ascii="Calibri"/>
                <w:sz w:val="20"/>
              </w:rPr>
            </w:pPr>
            <w:r>
              <w:rPr>
                <w:rFonts w:ascii="Calibri"/>
                <w:w w:val="98"/>
                <w:sz w:val="20"/>
              </w:rPr>
              <w:t>R</w:t>
            </w:r>
          </w:p>
        </w:tc>
        <w:tc>
          <w:tcPr>
            <w:tcW w:w="1080" w:type="dxa"/>
          </w:tcPr>
          <w:p>
            <w:pPr>
              <w:pStyle w:val="TableParagraph"/>
              <w:spacing w:before="3"/>
              <w:rPr>
                <w:sz w:val="19"/>
              </w:rPr>
            </w:pPr>
          </w:p>
          <w:p>
            <w:pPr>
              <w:pStyle w:val="TableParagraph"/>
              <w:ind w:left="175" w:right="162"/>
              <w:jc w:val="center"/>
              <w:rPr>
                <w:rFonts w:ascii="Calibri"/>
                <w:sz w:val="20"/>
              </w:rPr>
            </w:pPr>
            <w:r>
              <w:rPr>
                <w:rFonts w:ascii="Calibri"/>
                <w:sz w:val="20"/>
              </w:rPr>
              <w:t>DNR</w:t>
            </w:r>
          </w:p>
        </w:tc>
        <w:tc>
          <w:tcPr>
            <w:tcW w:w="900" w:type="dxa"/>
          </w:tcPr>
          <w:p>
            <w:pPr>
              <w:pStyle w:val="TableParagraph"/>
              <w:spacing w:before="3"/>
              <w:rPr>
                <w:sz w:val="19"/>
              </w:rPr>
            </w:pPr>
          </w:p>
          <w:p>
            <w:pPr>
              <w:pStyle w:val="TableParagraph"/>
              <w:ind w:right="261"/>
              <w:jc w:val="right"/>
              <w:rPr>
                <w:rFonts w:ascii="Calibri"/>
                <w:sz w:val="20"/>
              </w:rPr>
            </w:pPr>
            <w:r>
              <w:rPr>
                <w:rFonts w:ascii="Calibri"/>
                <w:w w:val="90"/>
                <w:sz w:val="20"/>
              </w:rPr>
              <w:t>46.5</w:t>
            </w:r>
          </w:p>
        </w:tc>
        <w:tc>
          <w:tcPr>
            <w:tcW w:w="900" w:type="dxa"/>
          </w:tcPr>
          <w:p>
            <w:pPr>
              <w:pStyle w:val="TableParagraph"/>
              <w:spacing w:before="3"/>
              <w:rPr>
                <w:sz w:val="19"/>
              </w:rPr>
            </w:pPr>
          </w:p>
          <w:p>
            <w:pPr>
              <w:pStyle w:val="TableParagraph"/>
              <w:ind w:left="113" w:right="109"/>
              <w:jc w:val="center"/>
              <w:rPr>
                <w:rFonts w:ascii="Calibri"/>
                <w:sz w:val="20"/>
              </w:rPr>
            </w:pPr>
            <w:r>
              <w:rPr>
                <w:rFonts w:ascii="Calibri"/>
                <w:sz w:val="20"/>
              </w:rPr>
              <w:t>-123.4</w:t>
            </w:r>
          </w:p>
        </w:tc>
        <w:tc>
          <w:tcPr>
            <w:tcW w:w="811" w:type="dxa"/>
          </w:tcPr>
          <w:p>
            <w:pPr>
              <w:pStyle w:val="TableParagraph"/>
              <w:spacing w:before="3"/>
              <w:rPr>
                <w:sz w:val="19"/>
              </w:rPr>
            </w:pPr>
          </w:p>
          <w:p>
            <w:pPr>
              <w:pStyle w:val="TableParagraph"/>
              <w:ind w:left="179" w:right="171"/>
              <w:jc w:val="center"/>
              <w:rPr>
                <w:rFonts w:ascii="Calibri"/>
                <w:sz w:val="20"/>
              </w:rPr>
            </w:pPr>
            <w:r>
              <w:rPr>
                <w:rFonts w:ascii="Calibri"/>
                <w:sz w:val="20"/>
              </w:rPr>
              <w:t>2500</w:t>
            </w:r>
          </w:p>
        </w:tc>
        <w:tc>
          <w:tcPr>
            <w:tcW w:w="1442" w:type="dxa"/>
          </w:tcPr>
          <w:p>
            <w:pPr>
              <w:pStyle w:val="TableParagraph"/>
              <w:spacing w:before="3"/>
              <w:rPr>
                <w:sz w:val="19"/>
              </w:rPr>
            </w:pPr>
          </w:p>
          <w:p>
            <w:pPr>
              <w:pStyle w:val="TableParagraph"/>
              <w:ind w:left="90" w:right="85"/>
              <w:jc w:val="center"/>
              <w:rPr>
                <w:rFonts w:ascii="Calibri"/>
                <w:sz w:val="20"/>
              </w:rPr>
            </w:pPr>
            <w:r>
              <w:rPr>
                <w:rFonts w:ascii="Calibri"/>
                <w:sz w:val="20"/>
              </w:rPr>
              <w:t>S-on mid-slope</w:t>
            </w:r>
          </w:p>
        </w:tc>
      </w:tr>
      <w:tr>
        <w:trPr>
          <w:trHeight w:val="690" w:hRule="atLeast"/>
        </w:trPr>
        <w:tc>
          <w:tcPr>
            <w:tcW w:w="893" w:type="dxa"/>
          </w:tcPr>
          <w:p>
            <w:pPr>
              <w:pStyle w:val="TableParagraph"/>
              <w:spacing w:before="196"/>
              <w:ind w:left="195" w:right="184"/>
              <w:jc w:val="center"/>
              <w:rPr>
                <w:rFonts w:ascii="Calibri"/>
                <w:b/>
                <w:sz w:val="24"/>
              </w:rPr>
            </w:pPr>
            <w:r>
              <w:rPr>
                <w:rFonts w:ascii="Calibri"/>
                <w:b/>
                <w:sz w:val="24"/>
              </w:rPr>
              <w:t>602</w:t>
            </w:r>
          </w:p>
        </w:tc>
        <w:tc>
          <w:tcPr>
            <w:tcW w:w="989" w:type="dxa"/>
          </w:tcPr>
          <w:p>
            <w:pPr>
              <w:pStyle w:val="TableParagraph"/>
              <w:spacing w:before="6"/>
              <w:rPr>
                <w:sz w:val="19"/>
              </w:rPr>
            </w:pPr>
          </w:p>
          <w:p>
            <w:pPr>
              <w:pStyle w:val="TableParagraph"/>
              <w:ind w:left="88" w:right="88"/>
              <w:jc w:val="center"/>
              <w:rPr>
                <w:rFonts w:ascii="Calibri"/>
                <w:sz w:val="20"/>
              </w:rPr>
            </w:pPr>
            <w:r>
              <w:rPr>
                <w:rFonts w:ascii="Calibri"/>
                <w:sz w:val="20"/>
              </w:rPr>
              <w:t>350216</w:t>
            </w:r>
          </w:p>
        </w:tc>
        <w:tc>
          <w:tcPr>
            <w:tcW w:w="1711" w:type="dxa"/>
          </w:tcPr>
          <w:p>
            <w:pPr>
              <w:pStyle w:val="TableParagraph"/>
              <w:spacing w:before="6"/>
              <w:rPr>
                <w:sz w:val="19"/>
              </w:rPr>
            </w:pPr>
          </w:p>
          <w:p>
            <w:pPr>
              <w:pStyle w:val="TableParagraph"/>
              <w:ind w:left="121" w:right="116"/>
              <w:jc w:val="center"/>
              <w:rPr>
                <w:rFonts w:ascii="Calibri"/>
                <w:sz w:val="20"/>
              </w:rPr>
            </w:pPr>
            <w:r>
              <w:rPr>
                <w:rFonts w:ascii="Calibri"/>
                <w:sz w:val="20"/>
              </w:rPr>
              <w:t>South Fork</w:t>
            </w:r>
          </w:p>
        </w:tc>
        <w:tc>
          <w:tcPr>
            <w:tcW w:w="629" w:type="dxa"/>
          </w:tcPr>
          <w:p>
            <w:pPr>
              <w:pStyle w:val="TableParagraph"/>
              <w:spacing w:before="6"/>
              <w:rPr>
                <w:sz w:val="19"/>
              </w:rPr>
            </w:pPr>
          </w:p>
          <w:p>
            <w:pPr>
              <w:pStyle w:val="TableParagraph"/>
              <w:ind w:left="5"/>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4" w:right="166"/>
              <w:jc w:val="center"/>
              <w:rPr>
                <w:rFonts w:ascii="Calibri"/>
                <w:sz w:val="20"/>
              </w:rPr>
            </w:pPr>
            <w:r>
              <w:rPr>
                <w:rFonts w:ascii="Calibri"/>
                <w:sz w:val="20"/>
              </w:rPr>
              <w:t>ODF</w:t>
            </w:r>
          </w:p>
        </w:tc>
        <w:tc>
          <w:tcPr>
            <w:tcW w:w="900" w:type="dxa"/>
          </w:tcPr>
          <w:p>
            <w:pPr>
              <w:pStyle w:val="TableParagraph"/>
              <w:spacing w:before="6"/>
              <w:rPr>
                <w:sz w:val="19"/>
              </w:rPr>
            </w:pPr>
          </w:p>
          <w:p>
            <w:pPr>
              <w:pStyle w:val="TableParagraph"/>
              <w:ind w:right="209"/>
              <w:jc w:val="right"/>
              <w:rPr>
                <w:rFonts w:ascii="Calibri"/>
                <w:sz w:val="20"/>
              </w:rPr>
            </w:pPr>
            <w:r>
              <w:rPr>
                <w:rFonts w:ascii="Calibri"/>
                <w:w w:val="90"/>
                <w:sz w:val="20"/>
              </w:rPr>
              <w:t>45.58</w:t>
            </w:r>
          </w:p>
        </w:tc>
        <w:tc>
          <w:tcPr>
            <w:tcW w:w="900" w:type="dxa"/>
          </w:tcPr>
          <w:p>
            <w:pPr>
              <w:pStyle w:val="TableParagraph"/>
              <w:spacing w:before="6"/>
              <w:rPr>
                <w:sz w:val="19"/>
              </w:rPr>
            </w:pPr>
          </w:p>
          <w:p>
            <w:pPr>
              <w:pStyle w:val="TableParagraph"/>
              <w:ind w:left="113" w:right="109"/>
              <w:jc w:val="center"/>
              <w:rPr>
                <w:rFonts w:ascii="Calibri"/>
                <w:sz w:val="20"/>
              </w:rPr>
            </w:pPr>
            <w:r>
              <w:rPr>
                <w:rFonts w:ascii="Calibri"/>
                <w:sz w:val="20"/>
              </w:rPr>
              <w:t>-123.49</w:t>
            </w:r>
          </w:p>
        </w:tc>
        <w:tc>
          <w:tcPr>
            <w:tcW w:w="811" w:type="dxa"/>
          </w:tcPr>
          <w:p>
            <w:pPr>
              <w:pStyle w:val="TableParagraph"/>
              <w:spacing w:before="6"/>
              <w:rPr>
                <w:sz w:val="19"/>
              </w:rPr>
            </w:pPr>
          </w:p>
          <w:p>
            <w:pPr>
              <w:pStyle w:val="TableParagraph"/>
              <w:ind w:left="179" w:right="171"/>
              <w:jc w:val="center"/>
              <w:rPr>
                <w:rFonts w:ascii="Calibri"/>
                <w:sz w:val="20"/>
              </w:rPr>
            </w:pPr>
            <w:r>
              <w:rPr>
                <w:rFonts w:ascii="Calibri"/>
                <w:sz w:val="20"/>
              </w:rPr>
              <w:t>2120</w:t>
            </w:r>
          </w:p>
        </w:tc>
        <w:tc>
          <w:tcPr>
            <w:tcW w:w="1442" w:type="dxa"/>
          </w:tcPr>
          <w:p>
            <w:pPr>
              <w:pStyle w:val="TableParagraph"/>
              <w:spacing w:before="6"/>
              <w:rPr>
                <w:sz w:val="19"/>
              </w:rPr>
            </w:pPr>
          </w:p>
          <w:p>
            <w:pPr>
              <w:pStyle w:val="TableParagraph"/>
              <w:ind w:left="88" w:right="85"/>
              <w:jc w:val="center"/>
              <w:rPr>
                <w:rFonts w:ascii="Calibri"/>
                <w:sz w:val="20"/>
              </w:rPr>
            </w:pPr>
            <w:r>
              <w:rPr>
                <w:rFonts w:ascii="Calibri"/>
                <w:sz w:val="20"/>
              </w:rPr>
              <w:t>S-on ridge</w:t>
            </w:r>
          </w:p>
        </w:tc>
      </w:tr>
      <w:tr>
        <w:trPr>
          <w:trHeight w:val="688" w:hRule="atLeast"/>
        </w:trPr>
        <w:tc>
          <w:tcPr>
            <w:tcW w:w="893" w:type="dxa"/>
          </w:tcPr>
          <w:p>
            <w:pPr>
              <w:pStyle w:val="TableParagraph"/>
              <w:rPr>
                <w:rFonts w:ascii="Times New Roman"/>
                <w:sz w:val="22"/>
              </w:rPr>
            </w:pPr>
          </w:p>
        </w:tc>
        <w:tc>
          <w:tcPr>
            <w:tcW w:w="989" w:type="dxa"/>
          </w:tcPr>
          <w:p>
            <w:pPr>
              <w:pStyle w:val="TableParagraph"/>
              <w:spacing w:before="8"/>
              <w:rPr>
                <w:sz w:val="19"/>
              </w:rPr>
            </w:pPr>
          </w:p>
          <w:p>
            <w:pPr>
              <w:pStyle w:val="TableParagraph"/>
              <w:ind w:left="88" w:right="88"/>
              <w:jc w:val="center"/>
              <w:rPr>
                <w:rFonts w:ascii="Calibri"/>
                <w:sz w:val="20"/>
              </w:rPr>
            </w:pPr>
            <w:r>
              <w:rPr>
                <w:rFonts w:ascii="Calibri"/>
                <w:sz w:val="20"/>
              </w:rPr>
              <w:t>350308</w:t>
            </w:r>
          </w:p>
        </w:tc>
        <w:tc>
          <w:tcPr>
            <w:tcW w:w="1711" w:type="dxa"/>
          </w:tcPr>
          <w:p>
            <w:pPr>
              <w:pStyle w:val="TableParagraph"/>
              <w:spacing w:before="8"/>
              <w:rPr>
                <w:sz w:val="19"/>
              </w:rPr>
            </w:pPr>
          </w:p>
          <w:p>
            <w:pPr>
              <w:pStyle w:val="TableParagraph"/>
              <w:ind w:left="121" w:right="120"/>
              <w:jc w:val="center"/>
              <w:rPr>
                <w:rFonts w:ascii="Calibri"/>
                <w:sz w:val="20"/>
              </w:rPr>
            </w:pPr>
            <w:r>
              <w:rPr>
                <w:rFonts w:ascii="Calibri"/>
                <w:sz w:val="20"/>
              </w:rPr>
              <w:t>Miller</w:t>
            </w:r>
          </w:p>
        </w:tc>
        <w:tc>
          <w:tcPr>
            <w:tcW w:w="629" w:type="dxa"/>
          </w:tcPr>
          <w:p>
            <w:pPr>
              <w:pStyle w:val="TableParagraph"/>
              <w:spacing w:before="8"/>
              <w:rPr>
                <w:sz w:val="19"/>
              </w:rPr>
            </w:pPr>
          </w:p>
          <w:p>
            <w:pPr>
              <w:pStyle w:val="TableParagraph"/>
              <w:ind w:left="5"/>
              <w:jc w:val="center"/>
              <w:rPr>
                <w:rFonts w:ascii="Calibri"/>
                <w:sz w:val="20"/>
              </w:rPr>
            </w:pPr>
            <w:r>
              <w:rPr>
                <w:rFonts w:ascii="Calibri"/>
                <w:w w:val="98"/>
                <w:sz w:val="20"/>
              </w:rPr>
              <w:t>R</w:t>
            </w:r>
          </w:p>
        </w:tc>
        <w:tc>
          <w:tcPr>
            <w:tcW w:w="1080" w:type="dxa"/>
          </w:tcPr>
          <w:p>
            <w:pPr>
              <w:pStyle w:val="TableParagraph"/>
              <w:spacing w:before="8"/>
              <w:rPr>
                <w:sz w:val="19"/>
              </w:rPr>
            </w:pPr>
          </w:p>
          <w:p>
            <w:pPr>
              <w:pStyle w:val="TableParagraph"/>
              <w:ind w:left="174" w:right="166"/>
              <w:jc w:val="center"/>
              <w:rPr>
                <w:rFonts w:ascii="Calibri"/>
                <w:sz w:val="20"/>
              </w:rPr>
            </w:pPr>
            <w:r>
              <w:rPr>
                <w:rFonts w:ascii="Calibri"/>
                <w:sz w:val="20"/>
              </w:rPr>
              <w:t>ODF</w:t>
            </w:r>
          </w:p>
        </w:tc>
        <w:tc>
          <w:tcPr>
            <w:tcW w:w="900" w:type="dxa"/>
          </w:tcPr>
          <w:p>
            <w:pPr>
              <w:pStyle w:val="TableParagraph"/>
              <w:spacing w:before="8"/>
              <w:rPr>
                <w:sz w:val="19"/>
              </w:rPr>
            </w:pPr>
          </w:p>
          <w:p>
            <w:pPr>
              <w:pStyle w:val="TableParagraph"/>
              <w:ind w:right="209"/>
              <w:jc w:val="right"/>
              <w:rPr>
                <w:rFonts w:ascii="Calibri"/>
                <w:sz w:val="20"/>
              </w:rPr>
            </w:pPr>
            <w:r>
              <w:rPr>
                <w:rFonts w:ascii="Calibri"/>
                <w:w w:val="90"/>
                <w:sz w:val="20"/>
              </w:rPr>
              <w:t>46.02</w:t>
            </w:r>
          </w:p>
        </w:tc>
        <w:tc>
          <w:tcPr>
            <w:tcW w:w="900" w:type="dxa"/>
          </w:tcPr>
          <w:p>
            <w:pPr>
              <w:pStyle w:val="TableParagraph"/>
              <w:spacing w:before="8"/>
              <w:rPr>
                <w:sz w:val="19"/>
              </w:rPr>
            </w:pPr>
          </w:p>
          <w:p>
            <w:pPr>
              <w:pStyle w:val="TableParagraph"/>
              <w:ind w:left="113" w:right="109"/>
              <w:jc w:val="center"/>
              <w:rPr>
                <w:rFonts w:ascii="Calibri"/>
                <w:sz w:val="20"/>
              </w:rPr>
            </w:pPr>
            <w:r>
              <w:rPr>
                <w:rFonts w:ascii="Calibri"/>
                <w:sz w:val="20"/>
              </w:rPr>
              <w:t>-123.27</w:t>
            </w:r>
          </w:p>
        </w:tc>
        <w:tc>
          <w:tcPr>
            <w:tcW w:w="811" w:type="dxa"/>
          </w:tcPr>
          <w:p>
            <w:pPr>
              <w:pStyle w:val="TableParagraph"/>
              <w:spacing w:before="8"/>
              <w:rPr>
                <w:sz w:val="19"/>
              </w:rPr>
            </w:pPr>
          </w:p>
          <w:p>
            <w:pPr>
              <w:pStyle w:val="TableParagraph"/>
              <w:ind w:left="179" w:right="171"/>
              <w:jc w:val="center"/>
              <w:rPr>
                <w:rFonts w:ascii="Calibri"/>
                <w:sz w:val="20"/>
              </w:rPr>
            </w:pPr>
            <w:r>
              <w:rPr>
                <w:rFonts w:ascii="Calibri"/>
                <w:sz w:val="20"/>
              </w:rPr>
              <w:t>1090</w:t>
            </w:r>
          </w:p>
        </w:tc>
        <w:tc>
          <w:tcPr>
            <w:tcW w:w="1442" w:type="dxa"/>
          </w:tcPr>
          <w:p>
            <w:pPr>
              <w:pStyle w:val="TableParagraph"/>
              <w:spacing w:before="8"/>
              <w:rPr>
                <w:sz w:val="19"/>
              </w:rPr>
            </w:pPr>
          </w:p>
          <w:p>
            <w:pPr>
              <w:pStyle w:val="TableParagraph"/>
              <w:ind w:left="86" w:right="85"/>
              <w:jc w:val="center"/>
              <w:rPr>
                <w:rFonts w:ascii="Calibri"/>
                <w:sz w:val="20"/>
              </w:rPr>
            </w:pPr>
            <w:r>
              <w:rPr>
                <w:rFonts w:ascii="Calibri"/>
                <w:sz w:val="20"/>
              </w:rPr>
              <w:t>S-in valley</w:t>
            </w:r>
          </w:p>
        </w:tc>
      </w:tr>
      <w:tr>
        <w:trPr>
          <w:trHeight w:val="690" w:hRule="atLeast"/>
        </w:trPr>
        <w:tc>
          <w:tcPr>
            <w:tcW w:w="893" w:type="dxa"/>
          </w:tcPr>
          <w:p>
            <w:pPr>
              <w:pStyle w:val="TableParagraph"/>
              <w:rPr>
                <w:rFonts w:ascii="Times New Roman"/>
                <w:sz w:val="22"/>
              </w:rPr>
            </w:pPr>
          </w:p>
        </w:tc>
        <w:tc>
          <w:tcPr>
            <w:tcW w:w="989" w:type="dxa"/>
          </w:tcPr>
          <w:p>
            <w:pPr>
              <w:pStyle w:val="TableParagraph"/>
              <w:spacing w:before="6"/>
              <w:rPr>
                <w:sz w:val="19"/>
              </w:rPr>
            </w:pPr>
          </w:p>
          <w:p>
            <w:pPr>
              <w:pStyle w:val="TableParagraph"/>
              <w:ind w:left="88" w:right="88"/>
              <w:jc w:val="center"/>
              <w:rPr>
                <w:rFonts w:ascii="Calibri"/>
                <w:sz w:val="20"/>
              </w:rPr>
            </w:pPr>
            <w:r>
              <w:rPr>
                <w:rFonts w:ascii="Calibri"/>
                <w:sz w:val="20"/>
              </w:rPr>
              <w:t>350113</w:t>
            </w:r>
          </w:p>
        </w:tc>
        <w:tc>
          <w:tcPr>
            <w:tcW w:w="1711" w:type="dxa"/>
          </w:tcPr>
          <w:p>
            <w:pPr>
              <w:pStyle w:val="TableParagraph"/>
              <w:spacing w:before="6"/>
              <w:rPr>
                <w:sz w:val="19"/>
              </w:rPr>
            </w:pPr>
          </w:p>
          <w:p>
            <w:pPr>
              <w:pStyle w:val="TableParagraph"/>
              <w:ind w:left="121" w:right="120"/>
              <w:jc w:val="center"/>
              <w:rPr>
                <w:rFonts w:ascii="Calibri"/>
                <w:sz w:val="20"/>
              </w:rPr>
            </w:pPr>
            <w:r>
              <w:rPr>
                <w:rFonts w:ascii="Calibri"/>
                <w:sz w:val="20"/>
              </w:rPr>
              <w:t>Tidewater</w:t>
            </w:r>
          </w:p>
        </w:tc>
        <w:tc>
          <w:tcPr>
            <w:tcW w:w="629" w:type="dxa"/>
          </w:tcPr>
          <w:p>
            <w:pPr>
              <w:pStyle w:val="TableParagraph"/>
              <w:spacing w:before="6"/>
              <w:rPr>
                <w:sz w:val="19"/>
              </w:rPr>
            </w:pPr>
          </w:p>
          <w:p>
            <w:pPr>
              <w:pStyle w:val="TableParagraph"/>
              <w:ind w:left="5"/>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4" w:right="166"/>
              <w:jc w:val="center"/>
              <w:rPr>
                <w:rFonts w:ascii="Calibri"/>
                <w:sz w:val="20"/>
              </w:rPr>
            </w:pPr>
            <w:r>
              <w:rPr>
                <w:rFonts w:ascii="Calibri"/>
                <w:sz w:val="20"/>
              </w:rPr>
              <w:t>ODF</w:t>
            </w:r>
          </w:p>
        </w:tc>
        <w:tc>
          <w:tcPr>
            <w:tcW w:w="900" w:type="dxa"/>
          </w:tcPr>
          <w:p>
            <w:pPr>
              <w:pStyle w:val="TableParagraph"/>
              <w:spacing w:before="6"/>
              <w:rPr>
                <w:sz w:val="19"/>
              </w:rPr>
            </w:pPr>
          </w:p>
          <w:p>
            <w:pPr>
              <w:pStyle w:val="TableParagraph"/>
              <w:ind w:right="209"/>
              <w:jc w:val="right"/>
              <w:rPr>
                <w:rFonts w:ascii="Calibri"/>
                <w:sz w:val="20"/>
              </w:rPr>
            </w:pPr>
            <w:r>
              <w:rPr>
                <w:rFonts w:ascii="Calibri"/>
                <w:w w:val="90"/>
                <w:sz w:val="20"/>
              </w:rPr>
              <w:t>46.01</w:t>
            </w:r>
          </w:p>
        </w:tc>
        <w:tc>
          <w:tcPr>
            <w:tcW w:w="900" w:type="dxa"/>
          </w:tcPr>
          <w:p>
            <w:pPr>
              <w:pStyle w:val="TableParagraph"/>
              <w:spacing w:before="6"/>
              <w:rPr>
                <w:sz w:val="19"/>
              </w:rPr>
            </w:pPr>
          </w:p>
          <w:p>
            <w:pPr>
              <w:pStyle w:val="TableParagraph"/>
              <w:ind w:left="113" w:right="109"/>
              <w:jc w:val="center"/>
              <w:rPr>
                <w:rFonts w:ascii="Calibri"/>
                <w:sz w:val="20"/>
              </w:rPr>
            </w:pPr>
            <w:r>
              <w:rPr>
                <w:rFonts w:ascii="Calibri"/>
                <w:sz w:val="20"/>
              </w:rPr>
              <w:t>-123.56</w:t>
            </w:r>
          </w:p>
        </w:tc>
        <w:tc>
          <w:tcPr>
            <w:tcW w:w="811" w:type="dxa"/>
          </w:tcPr>
          <w:p>
            <w:pPr>
              <w:pStyle w:val="TableParagraph"/>
              <w:spacing w:before="6"/>
              <w:rPr>
                <w:sz w:val="19"/>
              </w:rPr>
            </w:pPr>
          </w:p>
          <w:p>
            <w:pPr>
              <w:pStyle w:val="TableParagraph"/>
              <w:ind w:left="179" w:right="171"/>
              <w:jc w:val="center"/>
              <w:rPr>
                <w:rFonts w:ascii="Calibri"/>
                <w:sz w:val="20"/>
              </w:rPr>
            </w:pPr>
            <w:r>
              <w:rPr>
                <w:rFonts w:ascii="Calibri"/>
                <w:sz w:val="20"/>
              </w:rPr>
              <w:t>2035</w:t>
            </w:r>
          </w:p>
        </w:tc>
        <w:tc>
          <w:tcPr>
            <w:tcW w:w="1442" w:type="dxa"/>
          </w:tcPr>
          <w:p>
            <w:pPr>
              <w:pStyle w:val="TableParagraph"/>
              <w:spacing w:before="6"/>
              <w:rPr>
                <w:sz w:val="19"/>
              </w:rPr>
            </w:pPr>
          </w:p>
          <w:p>
            <w:pPr>
              <w:pStyle w:val="TableParagraph"/>
              <w:ind w:left="88" w:right="85"/>
              <w:jc w:val="center"/>
              <w:rPr>
                <w:rFonts w:ascii="Calibri"/>
                <w:sz w:val="20"/>
              </w:rPr>
            </w:pPr>
            <w:r>
              <w:rPr>
                <w:rFonts w:ascii="Calibri"/>
                <w:sz w:val="20"/>
              </w:rPr>
              <w:t>Ridge</w:t>
            </w:r>
          </w:p>
        </w:tc>
      </w:tr>
      <w:tr>
        <w:trPr>
          <w:trHeight w:val="693" w:hRule="atLeast"/>
        </w:trPr>
        <w:tc>
          <w:tcPr>
            <w:tcW w:w="893" w:type="dxa"/>
          </w:tcPr>
          <w:p>
            <w:pPr>
              <w:pStyle w:val="TableParagraph"/>
              <w:rPr>
                <w:rFonts w:ascii="Times New Roman"/>
                <w:sz w:val="22"/>
              </w:rPr>
            </w:pPr>
          </w:p>
        </w:tc>
        <w:tc>
          <w:tcPr>
            <w:tcW w:w="989" w:type="dxa"/>
          </w:tcPr>
          <w:p>
            <w:pPr>
              <w:pStyle w:val="TableParagraph"/>
              <w:spacing w:before="6"/>
              <w:rPr>
                <w:sz w:val="19"/>
              </w:rPr>
            </w:pPr>
          </w:p>
          <w:p>
            <w:pPr>
              <w:pStyle w:val="TableParagraph"/>
              <w:ind w:left="88" w:right="88"/>
              <w:jc w:val="center"/>
              <w:rPr>
                <w:rFonts w:ascii="Calibri"/>
                <w:sz w:val="20"/>
              </w:rPr>
            </w:pPr>
            <w:r>
              <w:rPr>
                <w:rFonts w:ascii="Calibri"/>
                <w:sz w:val="20"/>
              </w:rPr>
              <w:t>350505</w:t>
            </w:r>
          </w:p>
        </w:tc>
        <w:tc>
          <w:tcPr>
            <w:tcW w:w="1711" w:type="dxa"/>
          </w:tcPr>
          <w:p>
            <w:pPr>
              <w:pStyle w:val="TableParagraph"/>
              <w:spacing w:before="6"/>
              <w:rPr>
                <w:sz w:val="19"/>
              </w:rPr>
            </w:pPr>
          </w:p>
          <w:p>
            <w:pPr>
              <w:pStyle w:val="TableParagraph"/>
              <w:ind w:left="121" w:right="118"/>
              <w:jc w:val="center"/>
              <w:rPr>
                <w:rFonts w:ascii="Calibri"/>
                <w:sz w:val="20"/>
              </w:rPr>
            </w:pPr>
            <w:r>
              <w:rPr>
                <w:rFonts w:ascii="Calibri"/>
                <w:sz w:val="20"/>
              </w:rPr>
              <w:t>Rye Mountain</w:t>
            </w:r>
          </w:p>
        </w:tc>
        <w:tc>
          <w:tcPr>
            <w:tcW w:w="629" w:type="dxa"/>
          </w:tcPr>
          <w:p>
            <w:pPr>
              <w:pStyle w:val="TableParagraph"/>
              <w:spacing w:before="6"/>
              <w:rPr>
                <w:sz w:val="19"/>
              </w:rPr>
            </w:pPr>
          </w:p>
          <w:p>
            <w:pPr>
              <w:pStyle w:val="TableParagraph"/>
              <w:ind w:left="5"/>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5" w:right="164"/>
              <w:jc w:val="center"/>
              <w:rPr>
                <w:rFonts w:ascii="Calibri"/>
                <w:sz w:val="20"/>
              </w:rPr>
            </w:pPr>
            <w:r>
              <w:rPr>
                <w:rFonts w:ascii="Calibri"/>
                <w:sz w:val="20"/>
              </w:rPr>
              <w:t>BLM</w:t>
            </w:r>
          </w:p>
        </w:tc>
        <w:tc>
          <w:tcPr>
            <w:tcW w:w="900" w:type="dxa"/>
          </w:tcPr>
          <w:p>
            <w:pPr>
              <w:pStyle w:val="TableParagraph"/>
              <w:spacing w:before="6"/>
              <w:rPr>
                <w:sz w:val="19"/>
              </w:rPr>
            </w:pPr>
          </w:p>
          <w:p>
            <w:pPr>
              <w:pStyle w:val="TableParagraph"/>
              <w:ind w:right="209"/>
              <w:jc w:val="right"/>
              <w:rPr>
                <w:rFonts w:ascii="Calibri"/>
                <w:sz w:val="20"/>
              </w:rPr>
            </w:pPr>
            <w:r>
              <w:rPr>
                <w:rFonts w:ascii="Calibri"/>
                <w:w w:val="90"/>
                <w:sz w:val="20"/>
              </w:rPr>
              <w:t>45.22</w:t>
            </w:r>
          </w:p>
        </w:tc>
        <w:tc>
          <w:tcPr>
            <w:tcW w:w="900" w:type="dxa"/>
          </w:tcPr>
          <w:p>
            <w:pPr>
              <w:pStyle w:val="TableParagraph"/>
              <w:spacing w:before="6"/>
              <w:rPr>
                <w:sz w:val="19"/>
              </w:rPr>
            </w:pPr>
          </w:p>
          <w:p>
            <w:pPr>
              <w:pStyle w:val="TableParagraph"/>
              <w:ind w:left="113" w:right="109"/>
              <w:jc w:val="center"/>
              <w:rPr>
                <w:rFonts w:ascii="Calibri"/>
                <w:sz w:val="20"/>
              </w:rPr>
            </w:pPr>
            <w:r>
              <w:rPr>
                <w:rFonts w:ascii="Calibri"/>
                <w:sz w:val="20"/>
              </w:rPr>
              <w:t>-123.53</w:t>
            </w:r>
          </w:p>
        </w:tc>
        <w:tc>
          <w:tcPr>
            <w:tcW w:w="811" w:type="dxa"/>
          </w:tcPr>
          <w:p>
            <w:pPr>
              <w:pStyle w:val="TableParagraph"/>
              <w:spacing w:before="6"/>
              <w:rPr>
                <w:sz w:val="19"/>
              </w:rPr>
            </w:pPr>
          </w:p>
          <w:p>
            <w:pPr>
              <w:pStyle w:val="TableParagraph"/>
              <w:ind w:left="179" w:right="171"/>
              <w:jc w:val="center"/>
              <w:rPr>
                <w:rFonts w:ascii="Calibri"/>
                <w:sz w:val="20"/>
              </w:rPr>
            </w:pPr>
            <w:r>
              <w:rPr>
                <w:rFonts w:ascii="Calibri"/>
                <w:sz w:val="20"/>
              </w:rPr>
              <w:t>1960</w:t>
            </w:r>
          </w:p>
        </w:tc>
        <w:tc>
          <w:tcPr>
            <w:tcW w:w="1442" w:type="dxa"/>
          </w:tcPr>
          <w:p>
            <w:pPr>
              <w:pStyle w:val="TableParagraph"/>
              <w:spacing w:before="6"/>
              <w:rPr>
                <w:sz w:val="19"/>
              </w:rPr>
            </w:pPr>
          </w:p>
          <w:p>
            <w:pPr>
              <w:pStyle w:val="TableParagraph"/>
              <w:ind w:left="88" w:right="85"/>
              <w:jc w:val="center"/>
              <w:rPr>
                <w:rFonts w:ascii="Calibri"/>
                <w:sz w:val="20"/>
              </w:rPr>
            </w:pPr>
            <w:r>
              <w:rPr>
                <w:rFonts w:ascii="Calibri"/>
                <w:sz w:val="20"/>
              </w:rPr>
              <w:t>S-on ridge</w:t>
            </w:r>
          </w:p>
        </w:tc>
      </w:tr>
    </w:tbl>
    <w:p>
      <w:pPr>
        <w:spacing w:after="0"/>
        <w:jc w:val="center"/>
        <w:rPr>
          <w:rFonts w:ascii="Calibri"/>
          <w:sz w:val="20"/>
        </w:rPr>
        <w:sectPr>
          <w:pgSz w:w="12240" w:h="15840"/>
          <w:pgMar w:header="0" w:footer="968" w:top="1360" w:bottom="1240" w:left="340" w:right="620"/>
        </w:sectPr>
      </w:pPr>
    </w:p>
    <w:tbl>
      <w:tblPr>
        <w:tblW w:w="0" w:type="auto"/>
        <w:jc w:val="left"/>
        <w:tblInd w:w="1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989"/>
        <w:gridCol w:w="1711"/>
        <w:gridCol w:w="629"/>
        <w:gridCol w:w="1080"/>
        <w:gridCol w:w="900"/>
        <w:gridCol w:w="900"/>
        <w:gridCol w:w="811"/>
        <w:gridCol w:w="1440"/>
      </w:tblGrid>
      <w:tr>
        <w:trPr>
          <w:trHeight w:val="690" w:hRule="atLeast"/>
        </w:trPr>
        <w:tc>
          <w:tcPr>
            <w:tcW w:w="895" w:type="dxa"/>
          </w:tcPr>
          <w:p>
            <w:pPr>
              <w:pStyle w:val="TableParagraph"/>
              <w:spacing w:before="196"/>
              <w:ind w:left="249" w:right="230"/>
              <w:jc w:val="center"/>
              <w:rPr>
                <w:rFonts w:ascii="Calibri"/>
                <w:b/>
                <w:sz w:val="24"/>
              </w:rPr>
            </w:pPr>
            <w:r>
              <w:rPr>
                <w:rFonts w:ascii="Calibri"/>
                <w:b/>
                <w:sz w:val="24"/>
              </w:rPr>
              <w:t>665</w:t>
            </w: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451207</w:t>
            </w:r>
          </w:p>
        </w:tc>
        <w:tc>
          <w:tcPr>
            <w:tcW w:w="1711" w:type="dxa"/>
          </w:tcPr>
          <w:p>
            <w:pPr>
              <w:pStyle w:val="TableParagraph"/>
              <w:spacing w:before="6"/>
              <w:rPr>
                <w:sz w:val="19"/>
              </w:rPr>
            </w:pPr>
          </w:p>
          <w:p>
            <w:pPr>
              <w:pStyle w:val="TableParagraph"/>
              <w:ind w:left="121" w:right="121"/>
              <w:jc w:val="center"/>
              <w:rPr>
                <w:rFonts w:ascii="Calibri"/>
                <w:sz w:val="20"/>
              </w:rPr>
            </w:pPr>
            <w:r>
              <w:rPr>
                <w:rFonts w:ascii="Calibri"/>
                <w:sz w:val="20"/>
              </w:rPr>
              <w:t>Castle Rock</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5" w:right="166"/>
              <w:jc w:val="center"/>
              <w:rPr>
                <w:rFonts w:ascii="Calibri"/>
                <w:sz w:val="20"/>
              </w:rPr>
            </w:pPr>
            <w:r>
              <w:rPr>
                <w:rFonts w:ascii="Calibri"/>
                <w:sz w:val="20"/>
              </w:rPr>
              <w:t>DNR</w:t>
            </w:r>
          </w:p>
        </w:tc>
        <w:tc>
          <w:tcPr>
            <w:tcW w:w="900" w:type="dxa"/>
          </w:tcPr>
          <w:p>
            <w:pPr>
              <w:pStyle w:val="TableParagraph"/>
              <w:spacing w:before="6"/>
              <w:rPr>
                <w:sz w:val="19"/>
              </w:rPr>
            </w:pPr>
          </w:p>
          <w:p>
            <w:pPr>
              <w:pStyle w:val="TableParagraph"/>
              <w:ind w:left="220"/>
              <w:rPr>
                <w:rFonts w:ascii="Calibri"/>
                <w:sz w:val="20"/>
              </w:rPr>
            </w:pPr>
            <w:r>
              <w:rPr>
                <w:rFonts w:ascii="Calibri"/>
                <w:sz w:val="20"/>
              </w:rPr>
              <w:t>46.27</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-122.89</w:t>
            </w:r>
          </w:p>
        </w:tc>
        <w:tc>
          <w:tcPr>
            <w:tcW w:w="811" w:type="dxa"/>
          </w:tcPr>
          <w:p>
            <w:pPr>
              <w:pStyle w:val="TableParagraph"/>
              <w:spacing w:before="6"/>
              <w:rPr>
                <w:sz w:val="19"/>
              </w:rPr>
            </w:pPr>
          </w:p>
          <w:p>
            <w:pPr>
              <w:pStyle w:val="TableParagraph"/>
              <w:ind w:right="244"/>
              <w:jc w:val="right"/>
              <w:rPr>
                <w:rFonts w:ascii="Calibri"/>
                <w:sz w:val="20"/>
              </w:rPr>
            </w:pPr>
            <w:r>
              <w:rPr>
                <w:rFonts w:ascii="Calibri"/>
                <w:w w:val="95"/>
                <w:sz w:val="20"/>
              </w:rPr>
              <w:t>213</w:t>
            </w:r>
          </w:p>
        </w:tc>
        <w:tc>
          <w:tcPr>
            <w:tcW w:w="1440" w:type="dxa"/>
          </w:tcPr>
          <w:p>
            <w:pPr>
              <w:pStyle w:val="TableParagraph"/>
              <w:spacing w:before="6"/>
              <w:rPr>
                <w:sz w:val="19"/>
              </w:rPr>
            </w:pPr>
          </w:p>
          <w:p>
            <w:pPr>
              <w:pStyle w:val="TableParagraph"/>
              <w:ind w:left="96" w:right="96"/>
              <w:jc w:val="center"/>
              <w:rPr>
                <w:rFonts w:ascii="Calibri"/>
                <w:sz w:val="20"/>
              </w:rPr>
            </w:pPr>
            <w:r>
              <w:rPr>
                <w:rFonts w:ascii="Calibri"/>
                <w:sz w:val="20"/>
              </w:rPr>
              <w:t>S-in valley</w:t>
            </w:r>
          </w:p>
        </w:tc>
      </w:tr>
      <w:tr>
        <w:trPr>
          <w:trHeight w:val="688" w:hRule="atLeast"/>
        </w:trPr>
        <w:tc>
          <w:tcPr>
            <w:tcW w:w="895" w:type="dxa"/>
          </w:tcPr>
          <w:p>
            <w:pPr>
              <w:pStyle w:val="TableParagraph"/>
              <w:rPr>
                <w:rFonts w:ascii="Times New Roman"/>
                <w:sz w:val="20"/>
              </w:rPr>
            </w:pP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451209</w:t>
            </w:r>
          </w:p>
        </w:tc>
        <w:tc>
          <w:tcPr>
            <w:tcW w:w="1711" w:type="dxa"/>
          </w:tcPr>
          <w:p>
            <w:pPr>
              <w:pStyle w:val="TableParagraph"/>
              <w:spacing w:before="6"/>
              <w:rPr>
                <w:sz w:val="19"/>
              </w:rPr>
            </w:pPr>
          </w:p>
          <w:p>
            <w:pPr>
              <w:pStyle w:val="TableParagraph"/>
              <w:ind w:left="121" w:right="116"/>
              <w:jc w:val="center"/>
              <w:rPr>
                <w:rFonts w:ascii="Calibri"/>
                <w:sz w:val="20"/>
              </w:rPr>
            </w:pPr>
            <w:r>
              <w:rPr>
                <w:rFonts w:ascii="Calibri"/>
                <w:sz w:val="20"/>
              </w:rPr>
              <w:t>Abernathy Mtn.</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5" w:right="166"/>
              <w:jc w:val="center"/>
              <w:rPr>
                <w:rFonts w:ascii="Calibri"/>
                <w:sz w:val="20"/>
              </w:rPr>
            </w:pPr>
            <w:r>
              <w:rPr>
                <w:rFonts w:ascii="Calibri"/>
                <w:sz w:val="20"/>
              </w:rPr>
              <w:t>DNR</w:t>
            </w:r>
          </w:p>
        </w:tc>
        <w:tc>
          <w:tcPr>
            <w:tcW w:w="900" w:type="dxa"/>
          </w:tcPr>
          <w:p>
            <w:pPr>
              <w:pStyle w:val="TableParagraph"/>
              <w:spacing w:before="6"/>
              <w:rPr>
                <w:sz w:val="19"/>
              </w:rPr>
            </w:pPr>
          </w:p>
          <w:p>
            <w:pPr>
              <w:pStyle w:val="TableParagraph"/>
              <w:ind w:left="220"/>
              <w:rPr>
                <w:rFonts w:ascii="Calibri"/>
                <w:sz w:val="20"/>
              </w:rPr>
            </w:pPr>
            <w:r>
              <w:rPr>
                <w:rFonts w:ascii="Calibri"/>
                <w:sz w:val="20"/>
              </w:rPr>
              <w:t>46.35</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-123.1</w:t>
            </w:r>
          </w:p>
        </w:tc>
        <w:tc>
          <w:tcPr>
            <w:tcW w:w="811" w:type="dxa"/>
          </w:tcPr>
          <w:p>
            <w:pPr>
              <w:pStyle w:val="TableParagraph"/>
              <w:spacing w:before="6"/>
              <w:rPr>
                <w:sz w:val="19"/>
              </w:rPr>
            </w:pPr>
          </w:p>
          <w:p>
            <w:pPr>
              <w:pStyle w:val="TableParagraph"/>
              <w:ind w:right="194"/>
              <w:jc w:val="right"/>
              <w:rPr>
                <w:rFonts w:ascii="Calibri"/>
                <w:sz w:val="20"/>
              </w:rPr>
            </w:pPr>
            <w:r>
              <w:rPr>
                <w:rFonts w:ascii="Calibri"/>
                <w:w w:val="95"/>
                <w:sz w:val="20"/>
              </w:rPr>
              <w:t>2000</w:t>
            </w:r>
          </w:p>
        </w:tc>
        <w:tc>
          <w:tcPr>
            <w:tcW w:w="1440" w:type="dxa"/>
          </w:tcPr>
          <w:p>
            <w:pPr>
              <w:pStyle w:val="TableParagraph"/>
              <w:spacing w:before="6"/>
              <w:rPr>
                <w:sz w:val="19"/>
              </w:rPr>
            </w:pPr>
          </w:p>
          <w:p>
            <w:pPr>
              <w:pStyle w:val="TableParagraph"/>
              <w:ind w:left="96" w:right="96"/>
              <w:jc w:val="center"/>
              <w:rPr>
                <w:rFonts w:ascii="Calibri"/>
                <w:sz w:val="20"/>
              </w:rPr>
            </w:pPr>
            <w:r>
              <w:rPr>
                <w:rFonts w:ascii="Calibri"/>
                <w:sz w:val="20"/>
              </w:rPr>
              <w:t>Ridgetop</w:t>
            </w:r>
          </w:p>
        </w:tc>
      </w:tr>
      <w:tr>
        <w:trPr>
          <w:trHeight w:val="690" w:hRule="atLeast"/>
        </w:trPr>
        <w:tc>
          <w:tcPr>
            <w:tcW w:w="895" w:type="dxa"/>
          </w:tcPr>
          <w:p>
            <w:pPr>
              <w:pStyle w:val="TableParagraph"/>
              <w:spacing w:before="196"/>
              <w:ind w:left="249" w:right="230"/>
              <w:jc w:val="center"/>
              <w:rPr>
                <w:rFonts w:ascii="Calibri"/>
                <w:b/>
                <w:sz w:val="24"/>
              </w:rPr>
            </w:pPr>
            <w:r>
              <w:rPr>
                <w:rFonts w:ascii="Calibri"/>
                <w:b/>
                <w:sz w:val="24"/>
              </w:rPr>
              <w:t>603</w:t>
            </w: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351710</w:t>
            </w:r>
          </w:p>
        </w:tc>
        <w:tc>
          <w:tcPr>
            <w:tcW w:w="1711" w:type="dxa"/>
          </w:tcPr>
          <w:p>
            <w:pPr>
              <w:pStyle w:val="TableParagraph"/>
              <w:spacing w:before="6"/>
              <w:rPr>
                <w:sz w:val="19"/>
              </w:rPr>
            </w:pPr>
          </w:p>
          <w:p>
            <w:pPr>
              <w:pStyle w:val="TableParagraph"/>
              <w:ind w:left="121" w:right="121"/>
              <w:jc w:val="center"/>
              <w:rPr>
                <w:rFonts w:ascii="Calibri"/>
                <w:sz w:val="20"/>
              </w:rPr>
            </w:pPr>
            <w:r>
              <w:rPr>
                <w:rFonts w:ascii="Calibri"/>
                <w:sz w:val="20"/>
              </w:rPr>
              <w:t>Rockhouse1</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0" w:right="166"/>
              <w:jc w:val="center"/>
              <w:rPr>
                <w:rFonts w:ascii="Calibri"/>
                <w:sz w:val="20"/>
              </w:rPr>
            </w:pPr>
            <w:r>
              <w:rPr>
                <w:rFonts w:ascii="Calibri"/>
                <w:sz w:val="20"/>
              </w:rPr>
              <w:t>ODF</w:t>
            </w:r>
          </w:p>
        </w:tc>
        <w:tc>
          <w:tcPr>
            <w:tcW w:w="900" w:type="dxa"/>
          </w:tcPr>
          <w:p>
            <w:pPr>
              <w:pStyle w:val="TableParagraph"/>
              <w:spacing w:before="6"/>
              <w:rPr>
                <w:sz w:val="19"/>
              </w:rPr>
            </w:pPr>
          </w:p>
          <w:p>
            <w:pPr>
              <w:pStyle w:val="TableParagraph"/>
              <w:ind w:left="220"/>
              <w:rPr>
                <w:rFonts w:ascii="Calibri"/>
                <w:sz w:val="20"/>
              </w:rPr>
            </w:pPr>
            <w:r>
              <w:rPr>
                <w:rFonts w:ascii="Calibri"/>
                <w:sz w:val="20"/>
              </w:rPr>
              <w:t>44.93</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-123.47</w:t>
            </w:r>
          </w:p>
        </w:tc>
        <w:tc>
          <w:tcPr>
            <w:tcW w:w="811" w:type="dxa"/>
          </w:tcPr>
          <w:p>
            <w:pPr>
              <w:pStyle w:val="TableParagraph"/>
              <w:spacing w:before="6"/>
              <w:rPr>
                <w:sz w:val="19"/>
              </w:rPr>
            </w:pPr>
          </w:p>
          <w:p>
            <w:pPr>
              <w:pStyle w:val="TableParagraph"/>
              <w:ind w:right="194"/>
              <w:jc w:val="right"/>
              <w:rPr>
                <w:rFonts w:ascii="Calibri"/>
                <w:sz w:val="20"/>
              </w:rPr>
            </w:pPr>
            <w:r>
              <w:rPr>
                <w:rFonts w:ascii="Calibri"/>
                <w:w w:val="95"/>
                <w:sz w:val="20"/>
              </w:rPr>
              <w:t>2000</w:t>
            </w:r>
          </w:p>
        </w:tc>
        <w:tc>
          <w:tcPr>
            <w:tcW w:w="1440" w:type="dxa"/>
          </w:tcPr>
          <w:p>
            <w:pPr>
              <w:pStyle w:val="TableParagraph"/>
              <w:spacing w:before="6"/>
              <w:rPr>
                <w:sz w:val="19"/>
              </w:rPr>
            </w:pPr>
          </w:p>
          <w:p>
            <w:pPr>
              <w:pStyle w:val="TableParagraph"/>
              <w:ind w:left="96" w:right="95"/>
              <w:jc w:val="center"/>
              <w:rPr>
                <w:rFonts w:ascii="Calibri"/>
                <w:sz w:val="20"/>
              </w:rPr>
            </w:pPr>
            <w:r>
              <w:rPr>
                <w:rFonts w:ascii="Calibri"/>
                <w:sz w:val="20"/>
              </w:rPr>
              <w:t>Midslope</w:t>
            </w:r>
          </w:p>
        </w:tc>
      </w:tr>
      <w:tr>
        <w:trPr>
          <w:trHeight w:val="690" w:hRule="atLeast"/>
        </w:trPr>
        <w:tc>
          <w:tcPr>
            <w:tcW w:w="895" w:type="dxa"/>
          </w:tcPr>
          <w:p>
            <w:pPr>
              <w:pStyle w:val="TableParagraph"/>
              <w:rPr>
                <w:rFonts w:ascii="Times New Roman"/>
                <w:sz w:val="20"/>
              </w:rPr>
            </w:pP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351811</w:t>
            </w:r>
          </w:p>
        </w:tc>
        <w:tc>
          <w:tcPr>
            <w:tcW w:w="1711" w:type="dxa"/>
          </w:tcPr>
          <w:p>
            <w:pPr>
              <w:pStyle w:val="TableParagraph"/>
              <w:spacing w:before="6"/>
              <w:rPr>
                <w:sz w:val="19"/>
              </w:rPr>
            </w:pPr>
          </w:p>
          <w:p>
            <w:pPr>
              <w:pStyle w:val="TableParagraph"/>
              <w:ind w:left="121" w:right="122"/>
              <w:jc w:val="center"/>
              <w:rPr>
                <w:rFonts w:ascii="Calibri"/>
                <w:sz w:val="20"/>
              </w:rPr>
            </w:pPr>
            <w:r>
              <w:rPr>
                <w:rFonts w:ascii="Calibri"/>
                <w:sz w:val="20"/>
              </w:rPr>
              <w:t>Wilkinson Ridge</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68" w:right="166"/>
              <w:jc w:val="center"/>
              <w:rPr>
                <w:rFonts w:ascii="Calibri"/>
                <w:sz w:val="20"/>
              </w:rPr>
            </w:pPr>
            <w:r>
              <w:rPr>
                <w:rFonts w:ascii="Calibri"/>
                <w:sz w:val="20"/>
              </w:rPr>
              <w:t>USFS</w:t>
            </w:r>
          </w:p>
        </w:tc>
        <w:tc>
          <w:tcPr>
            <w:tcW w:w="900" w:type="dxa"/>
          </w:tcPr>
          <w:p>
            <w:pPr>
              <w:pStyle w:val="TableParagraph"/>
              <w:spacing w:before="6"/>
              <w:rPr>
                <w:sz w:val="19"/>
              </w:rPr>
            </w:pPr>
          </w:p>
          <w:p>
            <w:pPr>
              <w:pStyle w:val="TableParagraph"/>
              <w:ind w:left="220"/>
              <w:rPr>
                <w:rFonts w:ascii="Calibri"/>
                <w:sz w:val="20"/>
              </w:rPr>
            </w:pPr>
            <w:r>
              <w:rPr>
                <w:rFonts w:ascii="Calibri"/>
                <w:sz w:val="20"/>
              </w:rPr>
              <w:t>44.33</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-123.72</w:t>
            </w:r>
          </w:p>
        </w:tc>
        <w:tc>
          <w:tcPr>
            <w:tcW w:w="811" w:type="dxa"/>
          </w:tcPr>
          <w:p>
            <w:pPr>
              <w:pStyle w:val="TableParagraph"/>
              <w:spacing w:before="6"/>
              <w:rPr>
                <w:sz w:val="19"/>
              </w:rPr>
            </w:pPr>
          </w:p>
          <w:p>
            <w:pPr>
              <w:pStyle w:val="TableParagraph"/>
              <w:ind w:right="194"/>
              <w:jc w:val="right"/>
              <w:rPr>
                <w:rFonts w:ascii="Calibri"/>
                <w:sz w:val="20"/>
              </w:rPr>
            </w:pPr>
            <w:r>
              <w:rPr>
                <w:rFonts w:ascii="Calibri"/>
                <w:w w:val="95"/>
                <w:sz w:val="20"/>
              </w:rPr>
              <w:t>1370</w:t>
            </w:r>
          </w:p>
        </w:tc>
        <w:tc>
          <w:tcPr>
            <w:tcW w:w="1440" w:type="dxa"/>
          </w:tcPr>
          <w:p>
            <w:pPr>
              <w:pStyle w:val="TableParagraph"/>
              <w:spacing w:before="6"/>
              <w:rPr>
                <w:sz w:val="19"/>
              </w:rPr>
            </w:pPr>
          </w:p>
          <w:p>
            <w:pPr>
              <w:pStyle w:val="TableParagraph"/>
              <w:ind w:left="96" w:right="95"/>
              <w:jc w:val="center"/>
              <w:rPr>
                <w:rFonts w:ascii="Calibri"/>
                <w:sz w:val="20"/>
              </w:rPr>
            </w:pPr>
            <w:r>
              <w:rPr>
                <w:rFonts w:ascii="Calibri"/>
                <w:sz w:val="20"/>
              </w:rPr>
              <w:t>W-on ridge</w:t>
            </w:r>
          </w:p>
        </w:tc>
      </w:tr>
      <w:tr>
        <w:trPr>
          <w:trHeight w:val="688" w:hRule="atLeast"/>
        </w:trPr>
        <w:tc>
          <w:tcPr>
            <w:tcW w:w="895" w:type="dxa"/>
          </w:tcPr>
          <w:p>
            <w:pPr>
              <w:pStyle w:val="TableParagraph"/>
              <w:rPr>
                <w:rFonts w:ascii="Times New Roman"/>
                <w:sz w:val="20"/>
              </w:rPr>
            </w:pP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352542</w:t>
            </w:r>
          </w:p>
        </w:tc>
        <w:tc>
          <w:tcPr>
            <w:tcW w:w="1711" w:type="dxa"/>
          </w:tcPr>
          <w:p>
            <w:pPr>
              <w:pStyle w:val="TableParagraph"/>
              <w:spacing w:before="6"/>
              <w:rPr>
                <w:sz w:val="19"/>
              </w:rPr>
            </w:pPr>
          </w:p>
          <w:p>
            <w:pPr>
              <w:pStyle w:val="TableParagraph"/>
              <w:ind w:left="121" w:right="124"/>
              <w:jc w:val="center"/>
              <w:rPr>
                <w:rFonts w:ascii="Calibri"/>
                <w:sz w:val="20"/>
              </w:rPr>
            </w:pPr>
            <w:r>
              <w:rPr>
                <w:rFonts w:ascii="Calibri"/>
                <w:sz w:val="20"/>
              </w:rPr>
              <w:t>Clay Creek</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0" w:right="166"/>
              <w:jc w:val="center"/>
              <w:rPr>
                <w:rFonts w:ascii="Calibri"/>
                <w:sz w:val="20"/>
              </w:rPr>
            </w:pPr>
            <w:r>
              <w:rPr>
                <w:rFonts w:ascii="Calibri"/>
                <w:sz w:val="20"/>
              </w:rPr>
              <w:t>ODF</w:t>
            </w:r>
          </w:p>
        </w:tc>
        <w:tc>
          <w:tcPr>
            <w:tcW w:w="900" w:type="dxa"/>
          </w:tcPr>
          <w:p>
            <w:pPr>
              <w:pStyle w:val="TableParagraph"/>
              <w:spacing w:before="6"/>
              <w:rPr>
                <w:sz w:val="19"/>
              </w:rPr>
            </w:pPr>
          </w:p>
          <w:p>
            <w:pPr>
              <w:pStyle w:val="TableParagraph"/>
              <w:ind w:left="220"/>
              <w:rPr>
                <w:rFonts w:ascii="Calibri"/>
                <w:sz w:val="20"/>
              </w:rPr>
            </w:pPr>
            <w:r>
              <w:rPr>
                <w:rFonts w:ascii="Calibri"/>
                <w:sz w:val="20"/>
              </w:rPr>
              <w:t>44.02</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-123.21</w:t>
            </w:r>
          </w:p>
        </w:tc>
        <w:tc>
          <w:tcPr>
            <w:tcW w:w="811" w:type="dxa"/>
          </w:tcPr>
          <w:p>
            <w:pPr>
              <w:pStyle w:val="TableParagraph"/>
              <w:spacing w:before="6"/>
              <w:rPr>
                <w:sz w:val="19"/>
              </w:rPr>
            </w:pPr>
          </w:p>
          <w:p>
            <w:pPr>
              <w:pStyle w:val="TableParagraph"/>
              <w:ind w:right="194"/>
              <w:jc w:val="right"/>
              <w:rPr>
                <w:rFonts w:ascii="Calibri"/>
                <w:sz w:val="20"/>
              </w:rPr>
            </w:pPr>
            <w:r>
              <w:rPr>
                <w:rFonts w:ascii="Calibri"/>
                <w:w w:val="95"/>
                <w:sz w:val="20"/>
              </w:rPr>
              <w:t>1600</w:t>
            </w:r>
          </w:p>
        </w:tc>
        <w:tc>
          <w:tcPr>
            <w:tcW w:w="1440" w:type="dxa"/>
          </w:tcPr>
          <w:p>
            <w:pPr>
              <w:pStyle w:val="TableParagraph"/>
              <w:rPr>
                <w:rFonts w:ascii="Times New Roman"/>
                <w:sz w:val="20"/>
              </w:rPr>
            </w:pPr>
          </w:p>
        </w:tc>
      </w:tr>
      <w:tr>
        <w:trPr>
          <w:trHeight w:val="690" w:hRule="atLeast"/>
        </w:trPr>
        <w:tc>
          <w:tcPr>
            <w:tcW w:w="895" w:type="dxa"/>
          </w:tcPr>
          <w:p>
            <w:pPr>
              <w:pStyle w:val="TableParagraph"/>
              <w:rPr>
                <w:rFonts w:ascii="Times New Roman"/>
                <w:sz w:val="20"/>
              </w:rPr>
            </w:pPr>
          </w:p>
        </w:tc>
        <w:tc>
          <w:tcPr>
            <w:tcW w:w="989" w:type="dxa"/>
          </w:tcPr>
          <w:p>
            <w:pPr>
              <w:pStyle w:val="TableParagraph"/>
              <w:spacing w:before="8"/>
              <w:rPr>
                <w:sz w:val="19"/>
              </w:rPr>
            </w:pPr>
          </w:p>
          <w:p>
            <w:pPr>
              <w:pStyle w:val="TableParagraph"/>
              <w:ind w:left="86" w:right="88"/>
              <w:jc w:val="center"/>
              <w:rPr>
                <w:rFonts w:ascii="Calibri"/>
                <w:sz w:val="20"/>
              </w:rPr>
            </w:pPr>
            <w:r>
              <w:rPr>
                <w:rFonts w:ascii="Calibri"/>
                <w:sz w:val="20"/>
              </w:rPr>
              <w:t>352547</w:t>
            </w:r>
          </w:p>
        </w:tc>
        <w:tc>
          <w:tcPr>
            <w:tcW w:w="1711" w:type="dxa"/>
          </w:tcPr>
          <w:p>
            <w:pPr>
              <w:pStyle w:val="TableParagraph"/>
              <w:spacing w:before="8"/>
              <w:rPr>
                <w:sz w:val="19"/>
              </w:rPr>
            </w:pPr>
          </w:p>
          <w:p>
            <w:pPr>
              <w:pStyle w:val="TableParagraph"/>
              <w:ind w:left="121" w:right="120"/>
              <w:jc w:val="center"/>
              <w:rPr>
                <w:rFonts w:ascii="Calibri"/>
                <w:sz w:val="20"/>
              </w:rPr>
            </w:pPr>
            <w:r>
              <w:rPr>
                <w:rFonts w:ascii="Calibri"/>
                <w:sz w:val="20"/>
              </w:rPr>
              <w:t>Village Creek</w:t>
            </w:r>
          </w:p>
        </w:tc>
        <w:tc>
          <w:tcPr>
            <w:tcW w:w="629" w:type="dxa"/>
          </w:tcPr>
          <w:p>
            <w:pPr>
              <w:pStyle w:val="TableParagraph"/>
              <w:spacing w:before="8"/>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8"/>
              <w:rPr>
                <w:sz w:val="19"/>
              </w:rPr>
            </w:pPr>
          </w:p>
          <w:p>
            <w:pPr>
              <w:pStyle w:val="TableParagraph"/>
              <w:ind w:left="173" w:right="166"/>
              <w:jc w:val="center"/>
              <w:rPr>
                <w:rFonts w:ascii="Calibri"/>
                <w:sz w:val="20"/>
              </w:rPr>
            </w:pPr>
            <w:r>
              <w:rPr>
                <w:rFonts w:ascii="Calibri"/>
                <w:sz w:val="20"/>
              </w:rPr>
              <w:t>BLM</w:t>
            </w:r>
          </w:p>
        </w:tc>
        <w:tc>
          <w:tcPr>
            <w:tcW w:w="900" w:type="dxa"/>
          </w:tcPr>
          <w:p>
            <w:pPr>
              <w:pStyle w:val="TableParagraph"/>
              <w:spacing w:before="8"/>
              <w:rPr>
                <w:sz w:val="19"/>
              </w:rPr>
            </w:pPr>
          </w:p>
          <w:p>
            <w:pPr>
              <w:pStyle w:val="TableParagraph"/>
              <w:ind w:left="220"/>
              <w:rPr>
                <w:rFonts w:ascii="Calibri"/>
                <w:sz w:val="20"/>
              </w:rPr>
            </w:pPr>
            <w:r>
              <w:rPr>
                <w:rFonts w:ascii="Calibri"/>
                <w:sz w:val="20"/>
              </w:rPr>
              <w:t>44.25</w:t>
            </w:r>
          </w:p>
        </w:tc>
        <w:tc>
          <w:tcPr>
            <w:tcW w:w="900" w:type="dxa"/>
          </w:tcPr>
          <w:p>
            <w:pPr>
              <w:pStyle w:val="TableParagraph"/>
              <w:spacing w:before="8"/>
              <w:rPr>
                <w:sz w:val="19"/>
              </w:rPr>
            </w:pPr>
          </w:p>
          <w:p>
            <w:pPr>
              <w:pStyle w:val="TableParagraph"/>
              <w:ind w:left="109" w:right="109"/>
              <w:jc w:val="center"/>
              <w:rPr>
                <w:rFonts w:ascii="Calibri"/>
                <w:sz w:val="20"/>
              </w:rPr>
            </w:pPr>
            <w:r>
              <w:rPr>
                <w:rFonts w:ascii="Calibri"/>
                <w:sz w:val="20"/>
              </w:rPr>
              <w:t>-123.47</w:t>
            </w:r>
          </w:p>
        </w:tc>
        <w:tc>
          <w:tcPr>
            <w:tcW w:w="811" w:type="dxa"/>
          </w:tcPr>
          <w:p>
            <w:pPr>
              <w:pStyle w:val="TableParagraph"/>
              <w:spacing w:before="8"/>
              <w:rPr>
                <w:sz w:val="19"/>
              </w:rPr>
            </w:pPr>
          </w:p>
          <w:p>
            <w:pPr>
              <w:pStyle w:val="TableParagraph"/>
              <w:ind w:right="194"/>
              <w:jc w:val="right"/>
              <w:rPr>
                <w:rFonts w:ascii="Calibri"/>
                <w:sz w:val="20"/>
              </w:rPr>
            </w:pPr>
            <w:r>
              <w:rPr>
                <w:rFonts w:ascii="Calibri"/>
                <w:w w:val="95"/>
                <w:sz w:val="20"/>
              </w:rPr>
              <w:t>1500</w:t>
            </w:r>
          </w:p>
        </w:tc>
        <w:tc>
          <w:tcPr>
            <w:tcW w:w="1440" w:type="dxa"/>
          </w:tcPr>
          <w:p>
            <w:pPr>
              <w:pStyle w:val="TableParagraph"/>
              <w:spacing w:before="8"/>
              <w:rPr>
                <w:sz w:val="19"/>
              </w:rPr>
            </w:pPr>
          </w:p>
          <w:p>
            <w:pPr>
              <w:pStyle w:val="TableParagraph"/>
              <w:ind w:left="96" w:right="93"/>
              <w:jc w:val="center"/>
              <w:rPr>
                <w:rFonts w:ascii="Calibri"/>
                <w:sz w:val="20"/>
              </w:rPr>
            </w:pPr>
            <w:r>
              <w:rPr>
                <w:rFonts w:ascii="Calibri"/>
                <w:sz w:val="20"/>
              </w:rPr>
              <w:t>SE-on ridge</w:t>
            </w:r>
          </w:p>
        </w:tc>
      </w:tr>
      <w:tr>
        <w:trPr>
          <w:trHeight w:val="690" w:hRule="atLeast"/>
        </w:trPr>
        <w:tc>
          <w:tcPr>
            <w:tcW w:w="895" w:type="dxa"/>
          </w:tcPr>
          <w:p>
            <w:pPr>
              <w:pStyle w:val="TableParagraph"/>
              <w:rPr>
                <w:rFonts w:ascii="Times New Roman"/>
                <w:sz w:val="20"/>
              </w:rPr>
            </w:pP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353047</w:t>
            </w:r>
          </w:p>
        </w:tc>
        <w:tc>
          <w:tcPr>
            <w:tcW w:w="1711" w:type="dxa"/>
          </w:tcPr>
          <w:p>
            <w:pPr>
              <w:pStyle w:val="TableParagraph"/>
              <w:spacing w:before="6"/>
              <w:rPr>
                <w:sz w:val="19"/>
              </w:rPr>
            </w:pPr>
          </w:p>
          <w:p>
            <w:pPr>
              <w:pStyle w:val="TableParagraph"/>
              <w:ind w:left="121" w:right="124"/>
              <w:jc w:val="center"/>
              <w:rPr>
                <w:rFonts w:ascii="Calibri"/>
                <w:sz w:val="20"/>
              </w:rPr>
            </w:pPr>
            <w:r>
              <w:rPr>
                <w:rFonts w:ascii="Calibri"/>
                <w:sz w:val="20"/>
              </w:rPr>
              <w:t>Devil's Graveyard</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3" w:right="166"/>
              <w:jc w:val="center"/>
              <w:rPr>
                <w:rFonts w:ascii="Calibri"/>
                <w:sz w:val="20"/>
              </w:rPr>
            </w:pPr>
            <w:r>
              <w:rPr>
                <w:rFonts w:ascii="Calibri"/>
                <w:sz w:val="20"/>
              </w:rPr>
              <w:t>BLM</w:t>
            </w:r>
          </w:p>
        </w:tc>
        <w:tc>
          <w:tcPr>
            <w:tcW w:w="900" w:type="dxa"/>
          </w:tcPr>
          <w:p>
            <w:pPr>
              <w:pStyle w:val="TableParagraph"/>
              <w:spacing w:before="6"/>
              <w:rPr>
                <w:sz w:val="19"/>
              </w:rPr>
            </w:pPr>
          </w:p>
          <w:p>
            <w:pPr>
              <w:pStyle w:val="TableParagraph"/>
              <w:ind w:left="220"/>
              <w:rPr>
                <w:rFonts w:ascii="Calibri"/>
                <w:sz w:val="20"/>
              </w:rPr>
            </w:pPr>
            <w:r>
              <w:rPr>
                <w:rFonts w:ascii="Calibri"/>
                <w:sz w:val="20"/>
              </w:rPr>
              <w:t>43.72</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-123.63</w:t>
            </w:r>
          </w:p>
        </w:tc>
        <w:tc>
          <w:tcPr>
            <w:tcW w:w="811" w:type="dxa"/>
          </w:tcPr>
          <w:p>
            <w:pPr>
              <w:pStyle w:val="TableParagraph"/>
              <w:spacing w:before="6"/>
              <w:rPr>
                <w:sz w:val="19"/>
              </w:rPr>
            </w:pPr>
          </w:p>
          <w:p>
            <w:pPr>
              <w:pStyle w:val="TableParagraph"/>
              <w:ind w:right="194"/>
              <w:jc w:val="right"/>
              <w:rPr>
                <w:rFonts w:ascii="Calibri"/>
                <w:sz w:val="20"/>
              </w:rPr>
            </w:pPr>
            <w:r>
              <w:rPr>
                <w:rFonts w:ascii="Calibri"/>
                <w:w w:val="95"/>
                <w:sz w:val="20"/>
              </w:rPr>
              <w:t>1550</w:t>
            </w:r>
          </w:p>
        </w:tc>
        <w:tc>
          <w:tcPr>
            <w:tcW w:w="1440" w:type="dxa"/>
          </w:tcPr>
          <w:p>
            <w:pPr>
              <w:pStyle w:val="TableParagraph"/>
              <w:spacing w:before="6"/>
              <w:rPr>
                <w:sz w:val="19"/>
              </w:rPr>
            </w:pPr>
          </w:p>
          <w:p>
            <w:pPr>
              <w:pStyle w:val="TableParagraph"/>
              <w:ind w:left="96" w:right="96"/>
              <w:jc w:val="center"/>
              <w:rPr>
                <w:rFonts w:ascii="Calibri"/>
                <w:sz w:val="20"/>
              </w:rPr>
            </w:pPr>
            <w:r>
              <w:rPr>
                <w:rFonts w:ascii="Calibri"/>
                <w:sz w:val="20"/>
              </w:rPr>
              <w:t>NW-near ridge</w:t>
            </w:r>
          </w:p>
        </w:tc>
      </w:tr>
      <w:tr>
        <w:trPr>
          <w:trHeight w:val="688" w:hRule="atLeast"/>
        </w:trPr>
        <w:tc>
          <w:tcPr>
            <w:tcW w:w="895" w:type="dxa"/>
          </w:tcPr>
          <w:p>
            <w:pPr>
              <w:pStyle w:val="TableParagraph"/>
              <w:rPr>
                <w:rFonts w:ascii="Times New Roman"/>
                <w:sz w:val="20"/>
              </w:rPr>
            </w:pP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350605</w:t>
            </w:r>
          </w:p>
        </w:tc>
        <w:tc>
          <w:tcPr>
            <w:tcW w:w="1711" w:type="dxa"/>
          </w:tcPr>
          <w:p>
            <w:pPr>
              <w:pStyle w:val="TableParagraph"/>
              <w:spacing w:before="6"/>
              <w:rPr>
                <w:sz w:val="19"/>
              </w:rPr>
            </w:pPr>
          </w:p>
          <w:p>
            <w:pPr>
              <w:pStyle w:val="TableParagraph"/>
              <w:ind w:left="121" w:right="122"/>
              <w:jc w:val="center"/>
              <w:rPr>
                <w:rFonts w:ascii="Calibri"/>
                <w:sz w:val="20"/>
              </w:rPr>
            </w:pPr>
            <w:r>
              <w:rPr>
                <w:rFonts w:ascii="Calibri"/>
                <w:sz w:val="20"/>
              </w:rPr>
              <w:t>Gellatly</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0" w:right="166"/>
              <w:jc w:val="center"/>
              <w:rPr>
                <w:rFonts w:ascii="Calibri"/>
                <w:sz w:val="20"/>
              </w:rPr>
            </w:pPr>
            <w:r>
              <w:rPr>
                <w:rFonts w:ascii="Calibri"/>
                <w:sz w:val="20"/>
              </w:rPr>
              <w:t>ODF</w:t>
            </w:r>
          </w:p>
        </w:tc>
        <w:tc>
          <w:tcPr>
            <w:tcW w:w="900" w:type="dxa"/>
          </w:tcPr>
          <w:p>
            <w:pPr>
              <w:pStyle w:val="TableParagraph"/>
              <w:spacing w:before="6"/>
              <w:rPr>
                <w:sz w:val="19"/>
              </w:rPr>
            </w:pPr>
          </w:p>
          <w:p>
            <w:pPr>
              <w:pStyle w:val="TableParagraph"/>
              <w:ind w:left="220"/>
              <w:rPr>
                <w:rFonts w:ascii="Calibri"/>
                <w:sz w:val="20"/>
              </w:rPr>
            </w:pPr>
            <w:r>
              <w:rPr>
                <w:rFonts w:ascii="Calibri"/>
                <w:sz w:val="20"/>
              </w:rPr>
              <w:t>44.61</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-123.48</w:t>
            </w:r>
          </w:p>
        </w:tc>
        <w:tc>
          <w:tcPr>
            <w:tcW w:w="811" w:type="dxa"/>
          </w:tcPr>
          <w:p>
            <w:pPr>
              <w:pStyle w:val="TableParagraph"/>
              <w:spacing w:before="6"/>
              <w:rPr>
                <w:sz w:val="19"/>
              </w:rPr>
            </w:pPr>
          </w:p>
          <w:p>
            <w:pPr>
              <w:pStyle w:val="TableParagraph"/>
              <w:ind w:right="244"/>
              <w:jc w:val="right"/>
              <w:rPr>
                <w:rFonts w:ascii="Calibri"/>
                <w:sz w:val="20"/>
              </w:rPr>
            </w:pPr>
            <w:r>
              <w:rPr>
                <w:rFonts w:ascii="Calibri"/>
                <w:w w:val="95"/>
                <w:sz w:val="20"/>
              </w:rPr>
              <w:t>860</w:t>
            </w:r>
          </w:p>
        </w:tc>
        <w:tc>
          <w:tcPr>
            <w:tcW w:w="1440" w:type="dxa"/>
          </w:tcPr>
          <w:p>
            <w:pPr>
              <w:pStyle w:val="TableParagraph"/>
              <w:spacing w:before="102"/>
              <w:ind w:left="499" w:hanging="197"/>
              <w:rPr>
                <w:rFonts w:ascii="Calibri"/>
                <w:sz w:val="20"/>
              </w:rPr>
            </w:pPr>
            <w:r>
              <w:rPr>
                <w:rFonts w:ascii="Calibri"/>
                <w:w w:val="95"/>
                <w:sz w:val="20"/>
              </w:rPr>
              <w:t>NW-lower </w:t>
            </w:r>
            <w:r>
              <w:rPr>
                <w:rFonts w:ascii="Calibri"/>
                <w:sz w:val="20"/>
              </w:rPr>
              <w:t>slope</w:t>
            </w:r>
          </w:p>
        </w:tc>
      </w:tr>
      <w:tr>
        <w:trPr>
          <w:trHeight w:val="690" w:hRule="atLeast"/>
        </w:trPr>
        <w:tc>
          <w:tcPr>
            <w:tcW w:w="895" w:type="dxa"/>
          </w:tcPr>
          <w:p>
            <w:pPr>
              <w:pStyle w:val="TableParagraph"/>
              <w:rPr>
                <w:rFonts w:ascii="Times New Roman"/>
                <w:sz w:val="20"/>
              </w:rPr>
            </w:pP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352550</w:t>
            </w:r>
          </w:p>
        </w:tc>
        <w:tc>
          <w:tcPr>
            <w:tcW w:w="1711" w:type="dxa"/>
          </w:tcPr>
          <w:p>
            <w:pPr>
              <w:pStyle w:val="TableParagraph"/>
              <w:spacing w:before="6"/>
              <w:rPr>
                <w:sz w:val="19"/>
              </w:rPr>
            </w:pPr>
          </w:p>
          <w:p>
            <w:pPr>
              <w:pStyle w:val="TableParagraph"/>
              <w:ind w:left="121" w:right="121"/>
              <w:jc w:val="center"/>
              <w:rPr>
                <w:rFonts w:ascii="Calibri"/>
                <w:sz w:val="20"/>
              </w:rPr>
            </w:pPr>
            <w:r>
              <w:rPr>
                <w:rFonts w:ascii="Calibri"/>
                <w:sz w:val="20"/>
              </w:rPr>
              <w:t>High Point</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3" w:right="166"/>
              <w:jc w:val="center"/>
              <w:rPr>
                <w:rFonts w:ascii="Calibri"/>
                <w:sz w:val="20"/>
              </w:rPr>
            </w:pPr>
            <w:r>
              <w:rPr>
                <w:rFonts w:ascii="Calibri"/>
                <w:sz w:val="20"/>
              </w:rPr>
              <w:t>BLM</w:t>
            </w:r>
          </w:p>
        </w:tc>
        <w:tc>
          <w:tcPr>
            <w:tcW w:w="900" w:type="dxa"/>
          </w:tcPr>
          <w:p>
            <w:pPr>
              <w:pStyle w:val="TableParagraph"/>
              <w:spacing w:before="6"/>
              <w:rPr>
                <w:sz w:val="19"/>
              </w:rPr>
            </w:pPr>
          </w:p>
          <w:p>
            <w:pPr>
              <w:pStyle w:val="TableParagraph"/>
              <w:ind w:left="220"/>
              <w:rPr>
                <w:rFonts w:ascii="Calibri"/>
                <w:sz w:val="20"/>
              </w:rPr>
            </w:pPr>
            <w:r>
              <w:rPr>
                <w:rFonts w:ascii="Calibri"/>
                <w:sz w:val="20"/>
              </w:rPr>
              <w:t>43.91</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-123.38</w:t>
            </w:r>
          </w:p>
        </w:tc>
        <w:tc>
          <w:tcPr>
            <w:tcW w:w="811" w:type="dxa"/>
          </w:tcPr>
          <w:p>
            <w:pPr>
              <w:pStyle w:val="TableParagraph"/>
              <w:spacing w:before="6"/>
              <w:rPr>
                <w:sz w:val="19"/>
              </w:rPr>
            </w:pPr>
          </w:p>
          <w:p>
            <w:pPr>
              <w:pStyle w:val="TableParagraph"/>
              <w:ind w:right="194"/>
              <w:jc w:val="right"/>
              <w:rPr>
                <w:rFonts w:ascii="Calibri"/>
                <w:sz w:val="20"/>
              </w:rPr>
            </w:pPr>
            <w:r>
              <w:rPr>
                <w:rFonts w:ascii="Calibri"/>
                <w:w w:val="95"/>
                <w:sz w:val="20"/>
              </w:rPr>
              <w:t>1935</w:t>
            </w:r>
          </w:p>
        </w:tc>
        <w:tc>
          <w:tcPr>
            <w:tcW w:w="1440" w:type="dxa"/>
          </w:tcPr>
          <w:p>
            <w:pPr>
              <w:pStyle w:val="TableParagraph"/>
              <w:spacing w:before="6"/>
              <w:rPr>
                <w:sz w:val="19"/>
              </w:rPr>
            </w:pPr>
          </w:p>
          <w:p>
            <w:pPr>
              <w:pStyle w:val="TableParagraph"/>
              <w:ind w:left="96" w:right="95"/>
              <w:jc w:val="center"/>
              <w:rPr>
                <w:rFonts w:ascii="Calibri"/>
                <w:sz w:val="20"/>
              </w:rPr>
            </w:pPr>
            <w:r>
              <w:rPr>
                <w:rFonts w:ascii="Calibri"/>
                <w:sz w:val="20"/>
              </w:rPr>
              <w:t>N-on ridge</w:t>
            </w:r>
          </w:p>
        </w:tc>
      </w:tr>
      <w:tr>
        <w:trPr>
          <w:trHeight w:val="690" w:hRule="atLeast"/>
        </w:trPr>
        <w:tc>
          <w:tcPr>
            <w:tcW w:w="895" w:type="dxa"/>
          </w:tcPr>
          <w:p>
            <w:pPr>
              <w:pStyle w:val="TableParagraph"/>
              <w:spacing w:before="196"/>
              <w:ind w:left="249" w:right="230"/>
              <w:jc w:val="center"/>
              <w:rPr>
                <w:rFonts w:ascii="Calibri"/>
                <w:b/>
                <w:sz w:val="24"/>
              </w:rPr>
            </w:pPr>
            <w:r>
              <w:rPr>
                <w:rFonts w:ascii="Calibri"/>
                <w:b/>
                <w:sz w:val="24"/>
              </w:rPr>
              <w:t>604</w:t>
            </w: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352561</w:t>
            </w:r>
          </w:p>
        </w:tc>
        <w:tc>
          <w:tcPr>
            <w:tcW w:w="1711" w:type="dxa"/>
          </w:tcPr>
          <w:p>
            <w:pPr>
              <w:pStyle w:val="TableParagraph"/>
              <w:spacing w:before="6"/>
              <w:rPr>
                <w:sz w:val="19"/>
              </w:rPr>
            </w:pPr>
          </w:p>
          <w:p>
            <w:pPr>
              <w:pStyle w:val="TableParagraph"/>
              <w:ind w:left="121" w:right="121"/>
              <w:jc w:val="center"/>
              <w:rPr>
                <w:rFonts w:ascii="Calibri"/>
                <w:sz w:val="20"/>
              </w:rPr>
            </w:pPr>
            <w:r>
              <w:rPr>
                <w:rFonts w:ascii="Calibri"/>
                <w:sz w:val="20"/>
              </w:rPr>
              <w:t>Willow Crk.</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3" w:right="166"/>
              <w:jc w:val="center"/>
              <w:rPr>
                <w:rFonts w:ascii="Calibri"/>
                <w:sz w:val="20"/>
              </w:rPr>
            </w:pPr>
            <w:r>
              <w:rPr>
                <w:rFonts w:ascii="Calibri"/>
                <w:sz w:val="20"/>
              </w:rPr>
              <w:t>BLM</w:t>
            </w:r>
          </w:p>
        </w:tc>
        <w:tc>
          <w:tcPr>
            <w:tcW w:w="900" w:type="dxa"/>
          </w:tcPr>
          <w:p>
            <w:pPr>
              <w:pStyle w:val="TableParagraph"/>
              <w:spacing w:before="6"/>
              <w:rPr>
                <w:sz w:val="19"/>
              </w:rPr>
            </w:pPr>
          </w:p>
          <w:p>
            <w:pPr>
              <w:pStyle w:val="TableParagraph"/>
              <w:ind w:left="220"/>
              <w:rPr>
                <w:rFonts w:ascii="Calibri"/>
                <w:sz w:val="20"/>
              </w:rPr>
            </w:pPr>
            <w:r>
              <w:rPr>
                <w:rFonts w:ascii="Calibri"/>
                <w:sz w:val="20"/>
              </w:rPr>
              <w:t>44.03</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-123.17</w:t>
            </w:r>
          </w:p>
        </w:tc>
        <w:tc>
          <w:tcPr>
            <w:tcW w:w="811" w:type="dxa"/>
          </w:tcPr>
          <w:p>
            <w:pPr>
              <w:pStyle w:val="TableParagraph"/>
              <w:spacing w:before="6"/>
              <w:rPr>
                <w:sz w:val="19"/>
              </w:rPr>
            </w:pPr>
          </w:p>
          <w:p>
            <w:pPr>
              <w:pStyle w:val="TableParagraph"/>
              <w:ind w:right="244"/>
              <w:jc w:val="right"/>
              <w:rPr>
                <w:rFonts w:ascii="Calibri"/>
                <w:sz w:val="20"/>
              </w:rPr>
            </w:pPr>
            <w:r>
              <w:rPr>
                <w:rFonts w:ascii="Calibri"/>
                <w:w w:val="95"/>
                <w:sz w:val="20"/>
              </w:rPr>
              <w:t>456</w:t>
            </w:r>
          </w:p>
        </w:tc>
        <w:tc>
          <w:tcPr>
            <w:tcW w:w="1440" w:type="dxa"/>
          </w:tcPr>
          <w:p>
            <w:pPr>
              <w:pStyle w:val="TableParagraph"/>
              <w:spacing w:before="6"/>
              <w:rPr>
                <w:sz w:val="19"/>
              </w:rPr>
            </w:pPr>
          </w:p>
          <w:p>
            <w:pPr>
              <w:pStyle w:val="TableParagraph"/>
              <w:ind w:left="96" w:right="96"/>
              <w:jc w:val="center"/>
              <w:rPr>
                <w:rFonts w:ascii="Calibri"/>
                <w:sz w:val="20"/>
              </w:rPr>
            </w:pPr>
            <w:r>
              <w:rPr>
                <w:rFonts w:ascii="Calibri"/>
                <w:sz w:val="20"/>
              </w:rPr>
              <w:t>Valley</w:t>
            </w:r>
          </w:p>
        </w:tc>
      </w:tr>
      <w:tr>
        <w:trPr>
          <w:trHeight w:val="688" w:hRule="atLeast"/>
        </w:trPr>
        <w:tc>
          <w:tcPr>
            <w:tcW w:w="895" w:type="dxa"/>
          </w:tcPr>
          <w:p>
            <w:pPr>
              <w:pStyle w:val="TableParagraph"/>
              <w:rPr>
                <w:rFonts w:ascii="Times New Roman"/>
                <w:sz w:val="20"/>
              </w:rPr>
            </w:pPr>
          </w:p>
        </w:tc>
        <w:tc>
          <w:tcPr>
            <w:tcW w:w="989" w:type="dxa"/>
          </w:tcPr>
          <w:p>
            <w:pPr>
              <w:pStyle w:val="TableParagraph"/>
              <w:spacing w:before="3"/>
              <w:rPr>
                <w:sz w:val="19"/>
              </w:rPr>
            </w:pPr>
          </w:p>
          <w:p>
            <w:pPr>
              <w:pStyle w:val="TableParagraph"/>
              <w:ind w:left="86" w:right="88"/>
              <w:jc w:val="center"/>
              <w:rPr>
                <w:rFonts w:ascii="Calibri"/>
                <w:sz w:val="20"/>
              </w:rPr>
            </w:pPr>
            <w:r>
              <w:rPr>
                <w:rFonts w:ascii="Calibri"/>
                <w:sz w:val="20"/>
              </w:rPr>
              <w:t>351813</w:t>
            </w:r>
          </w:p>
        </w:tc>
        <w:tc>
          <w:tcPr>
            <w:tcW w:w="1711" w:type="dxa"/>
          </w:tcPr>
          <w:p>
            <w:pPr>
              <w:pStyle w:val="TableParagraph"/>
              <w:spacing w:before="3"/>
              <w:rPr>
                <w:sz w:val="19"/>
              </w:rPr>
            </w:pPr>
          </w:p>
          <w:p>
            <w:pPr>
              <w:pStyle w:val="TableParagraph"/>
              <w:ind w:left="121" w:right="124"/>
              <w:jc w:val="center"/>
              <w:rPr>
                <w:rFonts w:ascii="Calibri"/>
                <w:sz w:val="20"/>
              </w:rPr>
            </w:pPr>
            <w:r>
              <w:rPr>
                <w:rFonts w:ascii="Calibri"/>
                <w:sz w:val="20"/>
              </w:rPr>
              <w:t>Finley</w:t>
            </w:r>
          </w:p>
        </w:tc>
        <w:tc>
          <w:tcPr>
            <w:tcW w:w="629" w:type="dxa"/>
          </w:tcPr>
          <w:p>
            <w:pPr>
              <w:pStyle w:val="TableParagraph"/>
              <w:spacing w:before="3"/>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3"/>
              <w:rPr>
                <w:sz w:val="19"/>
              </w:rPr>
            </w:pPr>
          </w:p>
          <w:p>
            <w:pPr>
              <w:pStyle w:val="TableParagraph"/>
              <w:ind w:left="173" w:right="166"/>
              <w:jc w:val="center"/>
              <w:rPr>
                <w:rFonts w:ascii="Calibri"/>
                <w:sz w:val="20"/>
              </w:rPr>
            </w:pPr>
            <w:r>
              <w:rPr>
                <w:rFonts w:ascii="Calibri"/>
                <w:sz w:val="20"/>
              </w:rPr>
              <w:t>USFWS</w:t>
            </w:r>
          </w:p>
        </w:tc>
        <w:tc>
          <w:tcPr>
            <w:tcW w:w="900" w:type="dxa"/>
          </w:tcPr>
          <w:p>
            <w:pPr>
              <w:pStyle w:val="TableParagraph"/>
              <w:spacing w:before="3"/>
              <w:rPr>
                <w:sz w:val="19"/>
              </w:rPr>
            </w:pPr>
          </w:p>
          <w:p>
            <w:pPr>
              <w:pStyle w:val="TableParagraph"/>
              <w:ind w:left="220"/>
              <w:rPr>
                <w:rFonts w:ascii="Calibri"/>
                <w:sz w:val="20"/>
              </w:rPr>
            </w:pPr>
            <w:r>
              <w:rPr>
                <w:rFonts w:ascii="Calibri"/>
                <w:sz w:val="20"/>
              </w:rPr>
              <w:t>44.42</w:t>
            </w:r>
          </w:p>
        </w:tc>
        <w:tc>
          <w:tcPr>
            <w:tcW w:w="900" w:type="dxa"/>
          </w:tcPr>
          <w:p>
            <w:pPr>
              <w:pStyle w:val="TableParagraph"/>
              <w:spacing w:before="3"/>
              <w:rPr>
                <w:sz w:val="19"/>
              </w:rPr>
            </w:pPr>
          </w:p>
          <w:p>
            <w:pPr>
              <w:pStyle w:val="TableParagraph"/>
              <w:ind w:left="109" w:right="109"/>
              <w:jc w:val="center"/>
              <w:rPr>
                <w:rFonts w:ascii="Calibri"/>
                <w:sz w:val="20"/>
              </w:rPr>
            </w:pPr>
            <w:r>
              <w:rPr>
                <w:rFonts w:ascii="Calibri"/>
                <w:sz w:val="20"/>
              </w:rPr>
              <w:t>-123.33</w:t>
            </w:r>
          </w:p>
        </w:tc>
        <w:tc>
          <w:tcPr>
            <w:tcW w:w="811" w:type="dxa"/>
          </w:tcPr>
          <w:p>
            <w:pPr>
              <w:pStyle w:val="TableParagraph"/>
              <w:spacing w:before="3"/>
              <w:rPr>
                <w:sz w:val="19"/>
              </w:rPr>
            </w:pPr>
          </w:p>
          <w:p>
            <w:pPr>
              <w:pStyle w:val="TableParagraph"/>
              <w:ind w:right="244"/>
              <w:jc w:val="right"/>
              <w:rPr>
                <w:rFonts w:ascii="Calibri"/>
                <w:sz w:val="20"/>
              </w:rPr>
            </w:pPr>
            <w:r>
              <w:rPr>
                <w:rFonts w:ascii="Calibri"/>
                <w:w w:val="95"/>
                <w:sz w:val="20"/>
              </w:rPr>
              <w:t>330</w:t>
            </w:r>
          </w:p>
        </w:tc>
        <w:tc>
          <w:tcPr>
            <w:tcW w:w="1440" w:type="dxa"/>
          </w:tcPr>
          <w:p>
            <w:pPr>
              <w:pStyle w:val="TableParagraph"/>
              <w:spacing w:before="3"/>
              <w:rPr>
                <w:sz w:val="19"/>
              </w:rPr>
            </w:pPr>
          </w:p>
          <w:p>
            <w:pPr>
              <w:pStyle w:val="TableParagraph"/>
              <w:ind w:left="96" w:right="96"/>
              <w:jc w:val="center"/>
              <w:rPr>
                <w:rFonts w:ascii="Calibri"/>
                <w:sz w:val="20"/>
              </w:rPr>
            </w:pPr>
            <w:r>
              <w:rPr>
                <w:rFonts w:ascii="Calibri"/>
                <w:sz w:val="20"/>
              </w:rPr>
              <w:t>Valley</w:t>
            </w:r>
          </w:p>
        </w:tc>
      </w:tr>
      <w:tr>
        <w:trPr>
          <w:trHeight w:val="690" w:hRule="atLeast"/>
        </w:trPr>
        <w:tc>
          <w:tcPr>
            <w:tcW w:w="895" w:type="dxa"/>
          </w:tcPr>
          <w:p>
            <w:pPr>
              <w:pStyle w:val="TableParagraph"/>
              <w:spacing w:before="198"/>
              <w:ind w:left="249" w:right="230"/>
              <w:jc w:val="center"/>
              <w:rPr>
                <w:rFonts w:ascii="Calibri"/>
                <w:b/>
                <w:sz w:val="24"/>
              </w:rPr>
            </w:pPr>
            <w:r>
              <w:rPr>
                <w:rFonts w:ascii="Calibri"/>
                <w:b/>
                <w:sz w:val="24"/>
              </w:rPr>
              <w:t>667</w:t>
            </w: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451306</w:t>
            </w:r>
          </w:p>
        </w:tc>
        <w:tc>
          <w:tcPr>
            <w:tcW w:w="1711" w:type="dxa"/>
          </w:tcPr>
          <w:p>
            <w:pPr>
              <w:pStyle w:val="TableParagraph"/>
              <w:spacing w:before="6"/>
              <w:rPr>
                <w:sz w:val="19"/>
              </w:rPr>
            </w:pPr>
          </w:p>
          <w:p>
            <w:pPr>
              <w:pStyle w:val="TableParagraph"/>
              <w:ind w:left="121" w:right="121"/>
              <w:jc w:val="center"/>
              <w:rPr>
                <w:rFonts w:ascii="Calibri"/>
                <w:sz w:val="20"/>
              </w:rPr>
            </w:pPr>
            <w:r>
              <w:rPr>
                <w:rFonts w:ascii="Calibri"/>
                <w:sz w:val="20"/>
              </w:rPr>
              <w:t>Vancouver</w:t>
            </w:r>
          </w:p>
        </w:tc>
        <w:tc>
          <w:tcPr>
            <w:tcW w:w="629" w:type="dxa"/>
          </w:tcPr>
          <w:p>
            <w:pPr>
              <w:pStyle w:val="TableParagraph"/>
              <w:spacing w:before="6"/>
              <w:rPr>
                <w:sz w:val="19"/>
              </w:rPr>
            </w:pPr>
          </w:p>
          <w:p>
            <w:pPr>
              <w:pStyle w:val="TableParagraph"/>
              <w:jc w:val="center"/>
              <w:rPr>
                <w:rFonts w:ascii="Calibri"/>
                <w:sz w:val="20"/>
              </w:rPr>
            </w:pPr>
            <w:r>
              <w:rPr>
                <w:rFonts w:ascii="Calibri"/>
                <w:w w:val="98"/>
                <w:sz w:val="20"/>
              </w:rPr>
              <w:t>M</w:t>
            </w:r>
          </w:p>
        </w:tc>
        <w:tc>
          <w:tcPr>
            <w:tcW w:w="1080" w:type="dxa"/>
          </w:tcPr>
          <w:p>
            <w:pPr>
              <w:pStyle w:val="TableParagraph"/>
              <w:spacing w:before="6"/>
              <w:rPr>
                <w:sz w:val="19"/>
              </w:rPr>
            </w:pPr>
          </w:p>
          <w:p>
            <w:pPr>
              <w:pStyle w:val="TableParagraph"/>
              <w:ind w:left="175" w:right="166"/>
              <w:jc w:val="center"/>
              <w:rPr>
                <w:rFonts w:ascii="Calibri"/>
                <w:sz w:val="20"/>
              </w:rPr>
            </w:pPr>
            <w:r>
              <w:rPr>
                <w:rFonts w:ascii="Calibri"/>
                <w:sz w:val="20"/>
              </w:rPr>
              <w:t>DNR</w:t>
            </w:r>
          </w:p>
        </w:tc>
        <w:tc>
          <w:tcPr>
            <w:tcW w:w="900" w:type="dxa"/>
          </w:tcPr>
          <w:p>
            <w:pPr>
              <w:pStyle w:val="TableParagraph"/>
              <w:spacing w:before="6"/>
              <w:rPr>
                <w:sz w:val="19"/>
              </w:rPr>
            </w:pPr>
          </w:p>
          <w:p>
            <w:pPr>
              <w:pStyle w:val="TableParagraph"/>
              <w:ind w:left="271"/>
              <w:rPr>
                <w:rFonts w:ascii="Calibri"/>
                <w:sz w:val="20"/>
              </w:rPr>
            </w:pPr>
            <w:r>
              <w:rPr>
                <w:rFonts w:ascii="Calibri"/>
                <w:sz w:val="20"/>
              </w:rPr>
              <w:t>45.7</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-122.7</w:t>
            </w:r>
          </w:p>
        </w:tc>
        <w:tc>
          <w:tcPr>
            <w:tcW w:w="811" w:type="dxa"/>
          </w:tcPr>
          <w:p>
            <w:pPr>
              <w:pStyle w:val="TableParagraph"/>
              <w:spacing w:before="6"/>
              <w:rPr>
                <w:sz w:val="19"/>
              </w:rPr>
            </w:pPr>
          </w:p>
          <w:p>
            <w:pPr>
              <w:pStyle w:val="TableParagraph"/>
              <w:ind w:right="244"/>
              <w:jc w:val="right"/>
              <w:rPr>
                <w:rFonts w:ascii="Calibri"/>
                <w:sz w:val="20"/>
              </w:rPr>
            </w:pPr>
            <w:r>
              <w:rPr>
                <w:rFonts w:ascii="Calibri"/>
                <w:w w:val="95"/>
                <w:sz w:val="20"/>
              </w:rPr>
              <w:t>210</w:t>
            </w:r>
          </w:p>
        </w:tc>
        <w:tc>
          <w:tcPr>
            <w:tcW w:w="1440" w:type="dxa"/>
          </w:tcPr>
          <w:p>
            <w:pPr>
              <w:pStyle w:val="TableParagraph"/>
              <w:spacing w:before="6"/>
              <w:rPr>
                <w:sz w:val="19"/>
              </w:rPr>
            </w:pPr>
          </w:p>
          <w:p>
            <w:pPr>
              <w:pStyle w:val="TableParagraph"/>
              <w:ind w:left="96" w:right="94"/>
              <w:jc w:val="center"/>
              <w:rPr>
                <w:rFonts w:ascii="Calibri"/>
                <w:sz w:val="20"/>
              </w:rPr>
            </w:pPr>
            <w:r>
              <w:rPr>
                <w:rFonts w:ascii="Calibri"/>
                <w:sz w:val="20"/>
              </w:rPr>
              <w:t>Flat</w:t>
            </w:r>
          </w:p>
        </w:tc>
      </w:tr>
      <w:tr>
        <w:trPr>
          <w:trHeight w:val="693" w:hRule="atLeast"/>
        </w:trPr>
        <w:tc>
          <w:tcPr>
            <w:tcW w:w="895" w:type="dxa"/>
          </w:tcPr>
          <w:p>
            <w:pPr>
              <w:pStyle w:val="TableParagraph"/>
              <w:spacing w:before="198"/>
              <w:ind w:left="249" w:right="230"/>
              <w:jc w:val="center"/>
              <w:rPr>
                <w:rFonts w:ascii="Calibri"/>
                <w:b/>
                <w:sz w:val="24"/>
              </w:rPr>
            </w:pPr>
            <w:r>
              <w:rPr>
                <w:rFonts w:ascii="Calibri"/>
                <w:b/>
                <w:sz w:val="24"/>
              </w:rPr>
              <w:t>605</w:t>
            </w: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350727</w:t>
            </w:r>
          </w:p>
        </w:tc>
        <w:tc>
          <w:tcPr>
            <w:tcW w:w="1711" w:type="dxa"/>
          </w:tcPr>
          <w:p>
            <w:pPr>
              <w:pStyle w:val="TableParagraph"/>
              <w:spacing w:before="6"/>
              <w:rPr>
                <w:sz w:val="19"/>
              </w:rPr>
            </w:pPr>
          </w:p>
          <w:p>
            <w:pPr>
              <w:pStyle w:val="TableParagraph"/>
              <w:ind w:left="121" w:right="124"/>
              <w:jc w:val="center"/>
              <w:rPr>
                <w:rFonts w:ascii="Calibri"/>
                <w:sz w:val="20"/>
              </w:rPr>
            </w:pPr>
            <w:r>
              <w:rPr>
                <w:rFonts w:ascii="Calibri"/>
                <w:sz w:val="20"/>
              </w:rPr>
              <w:t>Horse Creek</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3" w:right="166"/>
              <w:jc w:val="center"/>
              <w:rPr>
                <w:rFonts w:ascii="Calibri"/>
                <w:sz w:val="20"/>
              </w:rPr>
            </w:pPr>
            <w:r>
              <w:rPr>
                <w:rFonts w:ascii="Calibri"/>
                <w:sz w:val="20"/>
              </w:rPr>
              <w:t>BLM</w:t>
            </w:r>
          </w:p>
        </w:tc>
        <w:tc>
          <w:tcPr>
            <w:tcW w:w="900" w:type="dxa"/>
          </w:tcPr>
          <w:p>
            <w:pPr>
              <w:pStyle w:val="TableParagraph"/>
              <w:spacing w:before="6"/>
              <w:rPr>
                <w:sz w:val="19"/>
              </w:rPr>
            </w:pPr>
          </w:p>
          <w:p>
            <w:pPr>
              <w:pStyle w:val="TableParagraph"/>
              <w:ind w:left="220"/>
              <w:rPr>
                <w:rFonts w:ascii="Calibri"/>
                <w:sz w:val="20"/>
              </w:rPr>
            </w:pPr>
            <w:r>
              <w:rPr>
                <w:rFonts w:ascii="Calibri"/>
                <w:sz w:val="20"/>
              </w:rPr>
              <w:t>44.94</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-122.4</w:t>
            </w:r>
          </w:p>
        </w:tc>
        <w:tc>
          <w:tcPr>
            <w:tcW w:w="811" w:type="dxa"/>
          </w:tcPr>
          <w:p>
            <w:pPr>
              <w:pStyle w:val="TableParagraph"/>
              <w:spacing w:before="6"/>
              <w:rPr>
                <w:sz w:val="19"/>
              </w:rPr>
            </w:pPr>
          </w:p>
          <w:p>
            <w:pPr>
              <w:pStyle w:val="TableParagraph"/>
              <w:ind w:right="194"/>
              <w:jc w:val="right"/>
              <w:rPr>
                <w:rFonts w:ascii="Calibri"/>
                <w:sz w:val="20"/>
              </w:rPr>
            </w:pPr>
            <w:r>
              <w:rPr>
                <w:rFonts w:ascii="Calibri"/>
                <w:w w:val="95"/>
                <w:sz w:val="20"/>
              </w:rPr>
              <w:t>2000</w:t>
            </w:r>
          </w:p>
        </w:tc>
        <w:tc>
          <w:tcPr>
            <w:tcW w:w="1440" w:type="dxa"/>
          </w:tcPr>
          <w:p>
            <w:pPr>
              <w:pStyle w:val="TableParagraph"/>
              <w:spacing w:before="6"/>
              <w:rPr>
                <w:sz w:val="19"/>
              </w:rPr>
            </w:pPr>
          </w:p>
          <w:p>
            <w:pPr>
              <w:pStyle w:val="TableParagraph"/>
              <w:ind w:left="96" w:right="95"/>
              <w:jc w:val="center"/>
              <w:rPr>
                <w:rFonts w:ascii="Calibri"/>
                <w:sz w:val="20"/>
              </w:rPr>
            </w:pPr>
            <w:r>
              <w:rPr>
                <w:rFonts w:ascii="Calibri"/>
                <w:sz w:val="20"/>
              </w:rPr>
              <w:t>Ridge</w:t>
            </w:r>
          </w:p>
        </w:tc>
      </w:tr>
      <w:tr>
        <w:trPr>
          <w:trHeight w:val="686" w:hRule="atLeast"/>
        </w:trPr>
        <w:tc>
          <w:tcPr>
            <w:tcW w:w="895" w:type="dxa"/>
          </w:tcPr>
          <w:p>
            <w:pPr>
              <w:pStyle w:val="TableParagraph"/>
              <w:rPr>
                <w:rFonts w:ascii="Times New Roman"/>
                <w:sz w:val="20"/>
              </w:rPr>
            </w:pPr>
          </w:p>
        </w:tc>
        <w:tc>
          <w:tcPr>
            <w:tcW w:w="989" w:type="dxa"/>
          </w:tcPr>
          <w:p>
            <w:pPr>
              <w:pStyle w:val="TableParagraph"/>
              <w:spacing w:before="3"/>
              <w:rPr>
                <w:sz w:val="19"/>
              </w:rPr>
            </w:pPr>
          </w:p>
          <w:p>
            <w:pPr>
              <w:pStyle w:val="TableParagraph"/>
              <w:ind w:left="86" w:right="88"/>
              <w:jc w:val="center"/>
              <w:rPr>
                <w:rFonts w:ascii="Calibri"/>
                <w:sz w:val="20"/>
              </w:rPr>
            </w:pPr>
            <w:r>
              <w:rPr>
                <w:rFonts w:ascii="Calibri"/>
                <w:sz w:val="20"/>
              </w:rPr>
              <w:t>350728</w:t>
            </w:r>
          </w:p>
        </w:tc>
        <w:tc>
          <w:tcPr>
            <w:tcW w:w="1711" w:type="dxa"/>
          </w:tcPr>
          <w:p>
            <w:pPr>
              <w:pStyle w:val="TableParagraph"/>
              <w:spacing w:before="3"/>
              <w:rPr>
                <w:sz w:val="19"/>
              </w:rPr>
            </w:pPr>
          </w:p>
          <w:p>
            <w:pPr>
              <w:pStyle w:val="TableParagraph"/>
              <w:ind w:left="121" w:right="124"/>
              <w:jc w:val="center"/>
              <w:rPr>
                <w:rFonts w:ascii="Calibri"/>
                <w:sz w:val="20"/>
              </w:rPr>
            </w:pPr>
            <w:r>
              <w:rPr>
                <w:rFonts w:ascii="Calibri"/>
                <w:sz w:val="20"/>
              </w:rPr>
              <w:t>Eagle Creek</w:t>
            </w:r>
          </w:p>
        </w:tc>
        <w:tc>
          <w:tcPr>
            <w:tcW w:w="629" w:type="dxa"/>
          </w:tcPr>
          <w:p>
            <w:pPr>
              <w:pStyle w:val="TableParagraph"/>
              <w:spacing w:before="3"/>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3"/>
              <w:rPr>
                <w:sz w:val="19"/>
              </w:rPr>
            </w:pPr>
          </w:p>
          <w:p>
            <w:pPr>
              <w:pStyle w:val="TableParagraph"/>
              <w:ind w:left="170" w:right="166"/>
              <w:jc w:val="center"/>
              <w:rPr>
                <w:rFonts w:ascii="Calibri"/>
                <w:sz w:val="20"/>
              </w:rPr>
            </w:pPr>
            <w:r>
              <w:rPr>
                <w:rFonts w:ascii="Calibri"/>
                <w:sz w:val="20"/>
              </w:rPr>
              <w:t>ODF</w:t>
            </w:r>
          </w:p>
        </w:tc>
        <w:tc>
          <w:tcPr>
            <w:tcW w:w="900" w:type="dxa"/>
          </w:tcPr>
          <w:p>
            <w:pPr>
              <w:pStyle w:val="TableParagraph"/>
              <w:spacing w:before="3"/>
              <w:rPr>
                <w:sz w:val="19"/>
              </w:rPr>
            </w:pPr>
          </w:p>
          <w:p>
            <w:pPr>
              <w:pStyle w:val="TableParagraph"/>
              <w:ind w:left="220"/>
              <w:rPr>
                <w:rFonts w:ascii="Calibri"/>
                <w:sz w:val="20"/>
              </w:rPr>
            </w:pPr>
            <w:r>
              <w:rPr>
                <w:rFonts w:ascii="Calibri"/>
                <w:sz w:val="20"/>
              </w:rPr>
              <w:t>45.37</w:t>
            </w:r>
          </w:p>
        </w:tc>
        <w:tc>
          <w:tcPr>
            <w:tcW w:w="900" w:type="dxa"/>
          </w:tcPr>
          <w:p>
            <w:pPr>
              <w:pStyle w:val="TableParagraph"/>
              <w:spacing w:before="3"/>
              <w:rPr>
                <w:sz w:val="19"/>
              </w:rPr>
            </w:pPr>
          </w:p>
          <w:p>
            <w:pPr>
              <w:pStyle w:val="TableParagraph"/>
              <w:ind w:left="109" w:right="109"/>
              <w:jc w:val="center"/>
              <w:rPr>
                <w:rFonts w:ascii="Calibri"/>
                <w:sz w:val="20"/>
              </w:rPr>
            </w:pPr>
            <w:r>
              <w:rPr>
                <w:rFonts w:ascii="Calibri"/>
                <w:sz w:val="20"/>
              </w:rPr>
              <w:t>-122.33</w:t>
            </w:r>
          </w:p>
        </w:tc>
        <w:tc>
          <w:tcPr>
            <w:tcW w:w="811" w:type="dxa"/>
          </w:tcPr>
          <w:p>
            <w:pPr>
              <w:pStyle w:val="TableParagraph"/>
              <w:spacing w:before="3"/>
              <w:rPr>
                <w:sz w:val="19"/>
              </w:rPr>
            </w:pPr>
          </w:p>
          <w:p>
            <w:pPr>
              <w:pStyle w:val="TableParagraph"/>
              <w:ind w:right="244"/>
              <w:jc w:val="right"/>
              <w:rPr>
                <w:rFonts w:ascii="Calibri"/>
                <w:sz w:val="20"/>
              </w:rPr>
            </w:pPr>
            <w:r>
              <w:rPr>
                <w:rFonts w:ascii="Calibri"/>
                <w:w w:val="95"/>
                <w:sz w:val="20"/>
              </w:rPr>
              <w:t>744</w:t>
            </w:r>
          </w:p>
        </w:tc>
        <w:tc>
          <w:tcPr>
            <w:tcW w:w="1440" w:type="dxa"/>
          </w:tcPr>
          <w:p>
            <w:pPr>
              <w:pStyle w:val="TableParagraph"/>
              <w:spacing w:before="3"/>
              <w:rPr>
                <w:sz w:val="19"/>
              </w:rPr>
            </w:pPr>
          </w:p>
          <w:p>
            <w:pPr>
              <w:pStyle w:val="TableParagraph"/>
              <w:ind w:left="96" w:right="93"/>
              <w:jc w:val="center"/>
              <w:rPr>
                <w:rFonts w:ascii="Calibri"/>
                <w:sz w:val="20"/>
              </w:rPr>
            </w:pPr>
            <w:r>
              <w:rPr>
                <w:rFonts w:ascii="Calibri"/>
                <w:sz w:val="20"/>
              </w:rPr>
              <w:t>SW-midslope</w:t>
            </w:r>
          </w:p>
        </w:tc>
      </w:tr>
      <w:tr>
        <w:trPr>
          <w:trHeight w:val="690" w:hRule="atLeast"/>
        </w:trPr>
        <w:tc>
          <w:tcPr>
            <w:tcW w:w="895" w:type="dxa"/>
          </w:tcPr>
          <w:p>
            <w:pPr>
              <w:pStyle w:val="TableParagraph"/>
              <w:spacing w:before="198"/>
              <w:ind w:left="249" w:right="230"/>
              <w:jc w:val="center"/>
              <w:rPr>
                <w:rFonts w:ascii="Calibri"/>
                <w:b/>
                <w:sz w:val="24"/>
              </w:rPr>
            </w:pPr>
            <w:r>
              <w:rPr>
                <w:rFonts w:ascii="Calibri"/>
                <w:b/>
                <w:sz w:val="24"/>
              </w:rPr>
              <w:t>606</w:t>
            </w: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352024</w:t>
            </w:r>
          </w:p>
        </w:tc>
        <w:tc>
          <w:tcPr>
            <w:tcW w:w="1711" w:type="dxa"/>
          </w:tcPr>
          <w:p>
            <w:pPr>
              <w:pStyle w:val="TableParagraph"/>
              <w:spacing w:before="6"/>
              <w:rPr>
                <w:sz w:val="19"/>
              </w:rPr>
            </w:pPr>
          </w:p>
          <w:p>
            <w:pPr>
              <w:pStyle w:val="TableParagraph"/>
              <w:ind w:left="121" w:right="120"/>
              <w:jc w:val="center"/>
              <w:rPr>
                <w:rFonts w:ascii="Calibri"/>
                <w:sz w:val="20"/>
              </w:rPr>
            </w:pPr>
            <w:r>
              <w:rPr>
                <w:rFonts w:ascii="Calibri"/>
                <w:sz w:val="20"/>
              </w:rPr>
              <w:t>Yellowstone</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3" w:right="166"/>
              <w:jc w:val="center"/>
              <w:rPr>
                <w:rFonts w:ascii="Calibri"/>
                <w:sz w:val="20"/>
              </w:rPr>
            </w:pPr>
            <w:r>
              <w:rPr>
                <w:rFonts w:ascii="Calibri"/>
                <w:sz w:val="20"/>
              </w:rPr>
              <w:t>BLM</w:t>
            </w:r>
          </w:p>
        </w:tc>
        <w:tc>
          <w:tcPr>
            <w:tcW w:w="900" w:type="dxa"/>
          </w:tcPr>
          <w:p>
            <w:pPr>
              <w:pStyle w:val="TableParagraph"/>
              <w:spacing w:before="6"/>
              <w:rPr>
                <w:sz w:val="19"/>
              </w:rPr>
            </w:pPr>
          </w:p>
          <w:p>
            <w:pPr>
              <w:pStyle w:val="TableParagraph"/>
              <w:ind w:left="271"/>
              <w:rPr>
                <w:rFonts w:ascii="Calibri"/>
                <w:sz w:val="20"/>
              </w:rPr>
            </w:pPr>
            <w:r>
              <w:rPr>
                <w:rFonts w:ascii="Calibri"/>
                <w:sz w:val="20"/>
              </w:rPr>
              <w:t>44.6</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-122.42</w:t>
            </w:r>
          </w:p>
        </w:tc>
        <w:tc>
          <w:tcPr>
            <w:tcW w:w="811" w:type="dxa"/>
          </w:tcPr>
          <w:p>
            <w:pPr>
              <w:pStyle w:val="TableParagraph"/>
              <w:spacing w:before="6"/>
              <w:rPr>
                <w:sz w:val="19"/>
              </w:rPr>
            </w:pPr>
          </w:p>
          <w:p>
            <w:pPr>
              <w:pStyle w:val="TableParagraph"/>
              <w:ind w:right="194"/>
              <w:jc w:val="right"/>
              <w:rPr>
                <w:rFonts w:ascii="Calibri"/>
                <w:sz w:val="20"/>
              </w:rPr>
            </w:pPr>
            <w:r>
              <w:rPr>
                <w:rFonts w:ascii="Calibri"/>
                <w:w w:val="95"/>
                <w:sz w:val="20"/>
              </w:rPr>
              <w:t>3080</w:t>
            </w:r>
          </w:p>
        </w:tc>
        <w:tc>
          <w:tcPr>
            <w:tcW w:w="1440" w:type="dxa"/>
          </w:tcPr>
          <w:p>
            <w:pPr>
              <w:pStyle w:val="TableParagraph"/>
              <w:spacing w:before="6"/>
              <w:rPr>
                <w:sz w:val="19"/>
              </w:rPr>
            </w:pPr>
          </w:p>
          <w:p>
            <w:pPr>
              <w:pStyle w:val="TableParagraph"/>
              <w:ind w:left="96" w:right="96"/>
              <w:jc w:val="center"/>
              <w:rPr>
                <w:rFonts w:ascii="Calibri"/>
                <w:sz w:val="20"/>
              </w:rPr>
            </w:pPr>
            <w:r>
              <w:rPr>
                <w:rFonts w:ascii="Calibri"/>
                <w:sz w:val="20"/>
              </w:rPr>
              <w:t>NE-in valley</w:t>
            </w:r>
          </w:p>
        </w:tc>
      </w:tr>
      <w:tr>
        <w:trPr>
          <w:trHeight w:val="693" w:hRule="atLeast"/>
        </w:trPr>
        <w:tc>
          <w:tcPr>
            <w:tcW w:w="895" w:type="dxa"/>
          </w:tcPr>
          <w:p>
            <w:pPr>
              <w:pStyle w:val="TableParagraph"/>
              <w:rPr>
                <w:rFonts w:ascii="Times New Roman"/>
                <w:sz w:val="20"/>
              </w:rPr>
            </w:pPr>
          </w:p>
        </w:tc>
        <w:tc>
          <w:tcPr>
            <w:tcW w:w="989" w:type="dxa"/>
          </w:tcPr>
          <w:p>
            <w:pPr>
              <w:pStyle w:val="TableParagraph"/>
              <w:spacing w:before="8"/>
              <w:rPr>
                <w:sz w:val="19"/>
              </w:rPr>
            </w:pPr>
          </w:p>
          <w:p>
            <w:pPr>
              <w:pStyle w:val="TableParagraph"/>
              <w:ind w:left="86" w:right="88"/>
              <w:jc w:val="center"/>
              <w:rPr>
                <w:rFonts w:ascii="Calibri"/>
                <w:sz w:val="20"/>
              </w:rPr>
            </w:pPr>
            <w:r>
              <w:rPr>
                <w:rFonts w:ascii="Calibri"/>
                <w:sz w:val="20"/>
              </w:rPr>
              <w:t>352025</w:t>
            </w:r>
          </w:p>
        </w:tc>
        <w:tc>
          <w:tcPr>
            <w:tcW w:w="1711" w:type="dxa"/>
          </w:tcPr>
          <w:p>
            <w:pPr>
              <w:pStyle w:val="TableParagraph"/>
              <w:spacing w:before="8"/>
              <w:rPr>
                <w:sz w:val="19"/>
              </w:rPr>
            </w:pPr>
          </w:p>
          <w:p>
            <w:pPr>
              <w:pStyle w:val="TableParagraph"/>
              <w:ind w:left="121" w:right="121"/>
              <w:jc w:val="center"/>
              <w:rPr>
                <w:rFonts w:ascii="Calibri"/>
                <w:sz w:val="20"/>
              </w:rPr>
            </w:pPr>
            <w:r>
              <w:rPr>
                <w:rFonts w:ascii="Calibri"/>
                <w:sz w:val="20"/>
              </w:rPr>
              <w:t>Jordan</w:t>
            </w:r>
          </w:p>
        </w:tc>
        <w:tc>
          <w:tcPr>
            <w:tcW w:w="629" w:type="dxa"/>
          </w:tcPr>
          <w:p>
            <w:pPr>
              <w:pStyle w:val="TableParagraph"/>
              <w:spacing w:before="8"/>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8"/>
              <w:rPr>
                <w:sz w:val="19"/>
              </w:rPr>
            </w:pPr>
          </w:p>
          <w:p>
            <w:pPr>
              <w:pStyle w:val="TableParagraph"/>
              <w:ind w:left="170" w:right="166"/>
              <w:jc w:val="center"/>
              <w:rPr>
                <w:rFonts w:ascii="Calibri"/>
                <w:sz w:val="20"/>
              </w:rPr>
            </w:pPr>
            <w:r>
              <w:rPr>
                <w:rFonts w:ascii="Calibri"/>
                <w:sz w:val="20"/>
              </w:rPr>
              <w:t>ODF</w:t>
            </w:r>
          </w:p>
        </w:tc>
        <w:tc>
          <w:tcPr>
            <w:tcW w:w="900" w:type="dxa"/>
          </w:tcPr>
          <w:p>
            <w:pPr>
              <w:pStyle w:val="TableParagraph"/>
              <w:spacing w:before="8"/>
              <w:rPr>
                <w:sz w:val="19"/>
              </w:rPr>
            </w:pPr>
          </w:p>
          <w:p>
            <w:pPr>
              <w:pStyle w:val="TableParagraph"/>
              <w:ind w:left="220"/>
              <w:rPr>
                <w:rFonts w:ascii="Calibri"/>
                <w:sz w:val="20"/>
              </w:rPr>
            </w:pPr>
            <w:r>
              <w:rPr>
                <w:rFonts w:ascii="Calibri"/>
                <w:sz w:val="20"/>
              </w:rPr>
              <w:t>44.72</w:t>
            </w:r>
          </w:p>
        </w:tc>
        <w:tc>
          <w:tcPr>
            <w:tcW w:w="900" w:type="dxa"/>
          </w:tcPr>
          <w:p>
            <w:pPr>
              <w:pStyle w:val="TableParagraph"/>
              <w:spacing w:before="8"/>
              <w:rPr>
                <w:sz w:val="19"/>
              </w:rPr>
            </w:pPr>
          </w:p>
          <w:p>
            <w:pPr>
              <w:pStyle w:val="TableParagraph"/>
              <w:ind w:left="109" w:right="109"/>
              <w:jc w:val="center"/>
              <w:rPr>
                <w:rFonts w:ascii="Calibri"/>
                <w:sz w:val="20"/>
              </w:rPr>
            </w:pPr>
            <w:r>
              <w:rPr>
                <w:rFonts w:ascii="Calibri"/>
                <w:sz w:val="20"/>
              </w:rPr>
              <w:t>-122.69</w:t>
            </w:r>
          </w:p>
        </w:tc>
        <w:tc>
          <w:tcPr>
            <w:tcW w:w="811" w:type="dxa"/>
          </w:tcPr>
          <w:p>
            <w:pPr>
              <w:pStyle w:val="TableParagraph"/>
              <w:spacing w:before="8"/>
              <w:rPr>
                <w:sz w:val="19"/>
              </w:rPr>
            </w:pPr>
          </w:p>
          <w:p>
            <w:pPr>
              <w:pStyle w:val="TableParagraph"/>
              <w:ind w:right="244"/>
              <w:jc w:val="right"/>
              <w:rPr>
                <w:rFonts w:ascii="Calibri"/>
                <w:sz w:val="20"/>
              </w:rPr>
            </w:pPr>
            <w:r>
              <w:rPr>
                <w:rFonts w:ascii="Calibri"/>
                <w:w w:val="95"/>
                <w:sz w:val="20"/>
              </w:rPr>
              <w:t>778</w:t>
            </w:r>
          </w:p>
        </w:tc>
        <w:tc>
          <w:tcPr>
            <w:tcW w:w="1440" w:type="dxa"/>
          </w:tcPr>
          <w:p>
            <w:pPr>
              <w:pStyle w:val="TableParagraph"/>
              <w:spacing w:before="8"/>
              <w:rPr>
                <w:sz w:val="19"/>
              </w:rPr>
            </w:pPr>
          </w:p>
          <w:p>
            <w:pPr>
              <w:pStyle w:val="TableParagraph"/>
              <w:ind w:left="96" w:right="96"/>
              <w:jc w:val="center"/>
              <w:rPr>
                <w:rFonts w:ascii="Calibri"/>
                <w:sz w:val="20"/>
              </w:rPr>
            </w:pPr>
            <w:r>
              <w:rPr>
                <w:rFonts w:ascii="Calibri"/>
                <w:sz w:val="20"/>
              </w:rPr>
              <w:t>In valley</w:t>
            </w:r>
          </w:p>
        </w:tc>
      </w:tr>
      <w:tr>
        <w:trPr>
          <w:trHeight w:val="686" w:hRule="atLeast"/>
        </w:trPr>
        <w:tc>
          <w:tcPr>
            <w:tcW w:w="895" w:type="dxa"/>
          </w:tcPr>
          <w:p>
            <w:pPr>
              <w:pStyle w:val="TableParagraph"/>
              <w:rPr>
                <w:rFonts w:ascii="Times New Roman"/>
                <w:sz w:val="20"/>
              </w:rPr>
            </w:pPr>
          </w:p>
        </w:tc>
        <w:tc>
          <w:tcPr>
            <w:tcW w:w="989" w:type="dxa"/>
          </w:tcPr>
          <w:p>
            <w:pPr>
              <w:pStyle w:val="TableParagraph"/>
              <w:spacing w:before="3"/>
              <w:rPr>
                <w:sz w:val="19"/>
              </w:rPr>
            </w:pPr>
          </w:p>
          <w:p>
            <w:pPr>
              <w:pStyle w:val="TableParagraph"/>
              <w:ind w:left="86" w:right="88"/>
              <w:jc w:val="center"/>
              <w:rPr>
                <w:rFonts w:ascii="Calibri"/>
                <w:sz w:val="20"/>
              </w:rPr>
            </w:pPr>
            <w:r>
              <w:rPr>
                <w:rFonts w:ascii="Calibri"/>
                <w:sz w:val="20"/>
              </w:rPr>
              <w:t>352552</w:t>
            </w:r>
          </w:p>
        </w:tc>
        <w:tc>
          <w:tcPr>
            <w:tcW w:w="1711" w:type="dxa"/>
          </w:tcPr>
          <w:p>
            <w:pPr>
              <w:pStyle w:val="TableParagraph"/>
              <w:spacing w:before="3"/>
              <w:rPr>
                <w:sz w:val="19"/>
              </w:rPr>
            </w:pPr>
          </w:p>
          <w:p>
            <w:pPr>
              <w:pStyle w:val="TableParagraph"/>
              <w:ind w:left="121" w:right="120"/>
              <w:jc w:val="center"/>
              <w:rPr>
                <w:rFonts w:ascii="Calibri"/>
                <w:sz w:val="20"/>
              </w:rPr>
            </w:pPr>
            <w:r>
              <w:rPr>
                <w:rFonts w:ascii="Calibri"/>
                <w:sz w:val="20"/>
              </w:rPr>
              <w:t>Trout Creek</w:t>
            </w:r>
          </w:p>
        </w:tc>
        <w:tc>
          <w:tcPr>
            <w:tcW w:w="629" w:type="dxa"/>
          </w:tcPr>
          <w:p>
            <w:pPr>
              <w:pStyle w:val="TableParagraph"/>
              <w:spacing w:before="3"/>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3"/>
              <w:rPr>
                <w:sz w:val="19"/>
              </w:rPr>
            </w:pPr>
          </w:p>
          <w:p>
            <w:pPr>
              <w:pStyle w:val="TableParagraph"/>
              <w:ind w:left="173" w:right="166"/>
              <w:jc w:val="center"/>
              <w:rPr>
                <w:rFonts w:ascii="Calibri"/>
                <w:sz w:val="20"/>
              </w:rPr>
            </w:pPr>
            <w:r>
              <w:rPr>
                <w:rFonts w:ascii="Calibri"/>
                <w:sz w:val="20"/>
              </w:rPr>
              <w:t>BLM</w:t>
            </w:r>
          </w:p>
        </w:tc>
        <w:tc>
          <w:tcPr>
            <w:tcW w:w="900" w:type="dxa"/>
          </w:tcPr>
          <w:p>
            <w:pPr>
              <w:pStyle w:val="TableParagraph"/>
              <w:spacing w:before="3"/>
              <w:rPr>
                <w:sz w:val="19"/>
              </w:rPr>
            </w:pPr>
          </w:p>
          <w:p>
            <w:pPr>
              <w:pStyle w:val="TableParagraph"/>
              <w:ind w:left="220"/>
              <w:rPr>
                <w:rFonts w:ascii="Calibri"/>
                <w:sz w:val="20"/>
              </w:rPr>
            </w:pPr>
            <w:r>
              <w:rPr>
                <w:rFonts w:ascii="Calibri"/>
                <w:sz w:val="20"/>
              </w:rPr>
              <w:t>44.11</w:t>
            </w:r>
          </w:p>
        </w:tc>
        <w:tc>
          <w:tcPr>
            <w:tcW w:w="900" w:type="dxa"/>
          </w:tcPr>
          <w:p>
            <w:pPr>
              <w:pStyle w:val="TableParagraph"/>
              <w:spacing w:before="3"/>
              <w:rPr>
                <w:sz w:val="19"/>
              </w:rPr>
            </w:pPr>
          </w:p>
          <w:p>
            <w:pPr>
              <w:pStyle w:val="TableParagraph"/>
              <w:ind w:left="109" w:right="109"/>
              <w:jc w:val="center"/>
              <w:rPr>
                <w:rFonts w:ascii="Calibri"/>
                <w:sz w:val="20"/>
              </w:rPr>
            </w:pPr>
            <w:r>
              <w:rPr>
                <w:rFonts w:ascii="Calibri"/>
                <w:sz w:val="20"/>
              </w:rPr>
              <w:t>-122.58</w:t>
            </w:r>
          </w:p>
        </w:tc>
        <w:tc>
          <w:tcPr>
            <w:tcW w:w="811" w:type="dxa"/>
          </w:tcPr>
          <w:p>
            <w:pPr>
              <w:pStyle w:val="TableParagraph"/>
              <w:spacing w:before="3"/>
              <w:rPr>
                <w:sz w:val="19"/>
              </w:rPr>
            </w:pPr>
          </w:p>
          <w:p>
            <w:pPr>
              <w:pStyle w:val="TableParagraph"/>
              <w:ind w:right="194"/>
              <w:jc w:val="right"/>
              <w:rPr>
                <w:rFonts w:ascii="Calibri"/>
                <w:sz w:val="20"/>
              </w:rPr>
            </w:pPr>
            <w:r>
              <w:rPr>
                <w:rFonts w:ascii="Calibri"/>
                <w:w w:val="95"/>
                <w:sz w:val="20"/>
              </w:rPr>
              <w:t>2400</w:t>
            </w:r>
          </w:p>
        </w:tc>
        <w:tc>
          <w:tcPr>
            <w:tcW w:w="1440" w:type="dxa"/>
          </w:tcPr>
          <w:p>
            <w:pPr>
              <w:pStyle w:val="TableParagraph"/>
              <w:spacing w:before="3"/>
              <w:rPr>
                <w:sz w:val="19"/>
              </w:rPr>
            </w:pPr>
          </w:p>
          <w:p>
            <w:pPr>
              <w:pStyle w:val="TableParagraph"/>
              <w:ind w:left="96" w:right="96"/>
              <w:jc w:val="center"/>
              <w:rPr>
                <w:rFonts w:ascii="Calibri"/>
                <w:sz w:val="20"/>
              </w:rPr>
            </w:pPr>
            <w:r>
              <w:rPr>
                <w:rFonts w:ascii="Calibri"/>
                <w:sz w:val="20"/>
              </w:rPr>
              <w:t>SW-on ridge</w:t>
            </w:r>
          </w:p>
        </w:tc>
      </w:tr>
      <w:tr>
        <w:trPr>
          <w:trHeight w:val="693" w:hRule="atLeast"/>
        </w:trPr>
        <w:tc>
          <w:tcPr>
            <w:tcW w:w="895" w:type="dxa"/>
          </w:tcPr>
          <w:p>
            <w:pPr>
              <w:pStyle w:val="TableParagraph"/>
              <w:rPr>
                <w:rFonts w:ascii="Times New Roman"/>
                <w:sz w:val="20"/>
              </w:rPr>
            </w:pP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352562</w:t>
            </w:r>
          </w:p>
        </w:tc>
        <w:tc>
          <w:tcPr>
            <w:tcW w:w="1711" w:type="dxa"/>
          </w:tcPr>
          <w:p>
            <w:pPr>
              <w:pStyle w:val="TableParagraph"/>
              <w:spacing w:before="6"/>
              <w:rPr>
                <w:sz w:val="19"/>
              </w:rPr>
            </w:pPr>
          </w:p>
          <w:p>
            <w:pPr>
              <w:pStyle w:val="TableParagraph"/>
              <w:ind w:left="121" w:right="121"/>
              <w:jc w:val="center"/>
              <w:rPr>
                <w:rFonts w:ascii="Calibri"/>
                <w:sz w:val="20"/>
              </w:rPr>
            </w:pPr>
            <w:r>
              <w:rPr>
                <w:rFonts w:ascii="Calibri"/>
                <w:sz w:val="20"/>
              </w:rPr>
              <w:t>Green Mtn.</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3" w:right="166"/>
              <w:jc w:val="center"/>
              <w:rPr>
                <w:rFonts w:ascii="Calibri"/>
                <w:sz w:val="20"/>
              </w:rPr>
            </w:pPr>
            <w:r>
              <w:rPr>
                <w:rFonts w:ascii="Calibri"/>
                <w:sz w:val="20"/>
              </w:rPr>
              <w:t>BLM</w:t>
            </w:r>
          </w:p>
        </w:tc>
        <w:tc>
          <w:tcPr>
            <w:tcW w:w="900" w:type="dxa"/>
          </w:tcPr>
          <w:p>
            <w:pPr>
              <w:pStyle w:val="TableParagraph"/>
              <w:spacing w:before="6"/>
              <w:rPr>
                <w:sz w:val="19"/>
              </w:rPr>
            </w:pPr>
          </w:p>
          <w:p>
            <w:pPr>
              <w:pStyle w:val="TableParagraph"/>
              <w:ind w:left="220"/>
              <w:rPr>
                <w:rFonts w:ascii="Calibri"/>
                <w:sz w:val="20"/>
              </w:rPr>
            </w:pPr>
            <w:r>
              <w:rPr>
                <w:rFonts w:ascii="Calibri"/>
                <w:sz w:val="20"/>
              </w:rPr>
              <w:t>43.73</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-122.81</w:t>
            </w:r>
          </w:p>
        </w:tc>
        <w:tc>
          <w:tcPr>
            <w:tcW w:w="811" w:type="dxa"/>
          </w:tcPr>
          <w:p>
            <w:pPr>
              <w:pStyle w:val="TableParagraph"/>
              <w:spacing w:before="6"/>
              <w:rPr>
                <w:sz w:val="19"/>
              </w:rPr>
            </w:pPr>
          </w:p>
          <w:p>
            <w:pPr>
              <w:pStyle w:val="TableParagraph"/>
              <w:ind w:right="194"/>
              <w:jc w:val="right"/>
              <w:rPr>
                <w:rFonts w:ascii="Calibri"/>
                <w:sz w:val="20"/>
              </w:rPr>
            </w:pPr>
            <w:r>
              <w:rPr>
                <w:rFonts w:ascii="Calibri"/>
                <w:w w:val="95"/>
                <w:sz w:val="20"/>
              </w:rPr>
              <w:t>3064</w:t>
            </w:r>
          </w:p>
        </w:tc>
        <w:tc>
          <w:tcPr>
            <w:tcW w:w="1440" w:type="dxa"/>
          </w:tcPr>
          <w:p>
            <w:pPr>
              <w:pStyle w:val="TableParagraph"/>
              <w:spacing w:before="6"/>
              <w:rPr>
                <w:sz w:val="19"/>
              </w:rPr>
            </w:pPr>
          </w:p>
          <w:p>
            <w:pPr>
              <w:pStyle w:val="TableParagraph"/>
              <w:ind w:left="96" w:right="95"/>
              <w:jc w:val="center"/>
              <w:rPr>
                <w:rFonts w:ascii="Calibri"/>
                <w:sz w:val="20"/>
              </w:rPr>
            </w:pPr>
            <w:r>
              <w:rPr>
                <w:rFonts w:ascii="Calibri"/>
                <w:sz w:val="20"/>
              </w:rPr>
              <w:t>Ridge</w:t>
            </w:r>
          </w:p>
        </w:tc>
      </w:tr>
    </w:tbl>
    <w:p>
      <w:pPr>
        <w:spacing w:after="0"/>
        <w:jc w:val="center"/>
        <w:rPr>
          <w:rFonts w:ascii="Calibri"/>
          <w:sz w:val="20"/>
        </w:rPr>
        <w:sectPr>
          <w:pgSz w:w="12240" w:h="15840"/>
          <w:pgMar w:header="0" w:footer="968" w:top="1440" w:bottom="1160" w:left="340" w:right="620"/>
        </w:sectPr>
      </w:pPr>
    </w:p>
    <w:tbl>
      <w:tblPr>
        <w:tblW w:w="0" w:type="auto"/>
        <w:jc w:val="left"/>
        <w:tblInd w:w="1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989"/>
        <w:gridCol w:w="1711"/>
        <w:gridCol w:w="629"/>
        <w:gridCol w:w="1080"/>
        <w:gridCol w:w="900"/>
        <w:gridCol w:w="900"/>
        <w:gridCol w:w="811"/>
        <w:gridCol w:w="1440"/>
      </w:tblGrid>
      <w:tr>
        <w:trPr>
          <w:trHeight w:val="690" w:hRule="atLeast"/>
        </w:trPr>
        <w:tc>
          <w:tcPr>
            <w:tcW w:w="895" w:type="dxa"/>
          </w:tcPr>
          <w:p>
            <w:pPr>
              <w:pStyle w:val="TableParagraph"/>
              <w:rPr>
                <w:rFonts w:ascii="Times New Roman"/>
                <w:sz w:val="18"/>
              </w:rPr>
            </w:pP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352553</w:t>
            </w:r>
          </w:p>
        </w:tc>
        <w:tc>
          <w:tcPr>
            <w:tcW w:w="1711" w:type="dxa"/>
          </w:tcPr>
          <w:p>
            <w:pPr>
              <w:pStyle w:val="TableParagraph"/>
              <w:spacing w:before="6"/>
              <w:rPr>
                <w:sz w:val="19"/>
              </w:rPr>
            </w:pPr>
          </w:p>
          <w:p>
            <w:pPr>
              <w:pStyle w:val="TableParagraph"/>
              <w:ind w:left="121" w:right="124"/>
              <w:jc w:val="center"/>
              <w:rPr>
                <w:rFonts w:ascii="Calibri"/>
                <w:sz w:val="20"/>
              </w:rPr>
            </w:pPr>
            <w:r>
              <w:rPr>
                <w:rFonts w:ascii="Calibri"/>
                <w:sz w:val="20"/>
              </w:rPr>
              <w:t>Brush Creek</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3" w:right="166"/>
              <w:jc w:val="center"/>
              <w:rPr>
                <w:rFonts w:ascii="Calibri"/>
                <w:sz w:val="20"/>
              </w:rPr>
            </w:pPr>
            <w:r>
              <w:rPr>
                <w:rFonts w:ascii="Calibri"/>
                <w:sz w:val="20"/>
              </w:rPr>
              <w:t>BLM</w:t>
            </w:r>
          </w:p>
        </w:tc>
        <w:tc>
          <w:tcPr>
            <w:tcW w:w="900" w:type="dxa"/>
          </w:tcPr>
          <w:p>
            <w:pPr>
              <w:pStyle w:val="TableParagraph"/>
              <w:spacing w:before="6"/>
              <w:rPr>
                <w:sz w:val="19"/>
              </w:rPr>
            </w:pPr>
          </w:p>
          <w:p>
            <w:pPr>
              <w:pStyle w:val="TableParagraph"/>
              <w:ind w:left="113" w:right="109"/>
              <w:jc w:val="center"/>
              <w:rPr>
                <w:rFonts w:ascii="Calibri"/>
                <w:sz w:val="20"/>
              </w:rPr>
            </w:pPr>
            <w:r>
              <w:rPr>
                <w:rFonts w:ascii="Calibri"/>
                <w:sz w:val="20"/>
              </w:rPr>
              <w:t>44.28</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-122.85</w:t>
            </w:r>
          </w:p>
        </w:tc>
        <w:tc>
          <w:tcPr>
            <w:tcW w:w="811" w:type="dxa"/>
          </w:tcPr>
          <w:p>
            <w:pPr>
              <w:pStyle w:val="TableParagraph"/>
              <w:spacing w:before="6"/>
              <w:rPr>
                <w:sz w:val="19"/>
              </w:rPr>
            </w:pPr>
          </w:p>
          <w:p>
            <w:pPr>
              <w:pStyle w:val="TableParagraph"/>
              <w:ind w:left="177" w:right="173"/>
              <w:jc w:val="center"/>
              <w:rPr>
                <w:rFonts w:ascii="Calibri"/>
                <w:sz w:val="20"/>
              </w:rPr>
            </w:pPr>
            <w:r>
              <w:rPr>
                <w:rFonts w:ascii="Calibri"/>
                <w:sz w:val="20"/>
              </w:rPr>
              <w:t>2300</w:t>
            </w:r>
          </w:p>
        </w:tc>
        <w:tc>
          <w:tcPr>
            <w:tcW w:w="1440" w:type="dxa"/>
          </w:tcPr>
          <w:p>
            <w:pPr>
              <w:pStyle w:val="TableParagraph"/>
              <w:spacing w:before="6"/>
              <w:rPr>
                <w:sz w:val="19"/>
              </w:rPr>
            </w:pPr>
          </w:p>
          <w:p>
            <w:pPr>
              <w:pStyle w:val="TableParagraph"/>
              <w:ind w:left="96" w:right="95"/>
              <w:jc w:val="center"/>
              <w:rPr>
                <w:rFonts w:ascii="Calibri"/>
                <w:sz w:val="20"/>
              </w:rPr>
            </w:pPr>
            <w:r>
              <w:rPr>
                <w:rFonts w:ascii="Calibri"/>
                <w:sz w:val="20"/>
              </w:rPr>
              <w:t>N-on ridge</w:t>
            </w:r>
          </w:p>
        </w:tc>
      </w:tr>
      <w:tr>
        <w:trPr>
          <w:trHeight w:val="688" w:hRule="atLeast"/>
        </w:trPr>
        <w:tc>
          <w:tcPr>
            <w:tcW w:w="895" w:type="dxa"/>
          </w:tcPr>
          <w:p>
            <w:pPr>
              <w:pStyle w:val="TableParagraph"/>
              <w:spacing w:before="196"/>
              <w:ind w:left="249" w:right="230"/>
              <w:jc w:val="center"/>
              <w:rPr>
                <w:rFonts w:ascii="Calibri"/>
                <w:b/>
                <w:sz w:val="24"/>
              </w:rPr>
            </w:pPr>
            <w:r>
              <w:rPr>
                <w:rFonts w:ascii="Calibri"/>
                <w:b/>
                <w:sz w:val="24"/>
              </w:rPr>
              <w:t>607</w:t>
            </w: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350718</w:t>
            </w:r>
          </w:p>
        </w:tc>
        <w:tc>
          <w:tcPr>
            <w:tcW w:w="1711" w:type="dxa"/>
          </w:tcPr>
          <w:p>
            <w:pPr>
              <w:pStyle w:val="TableParagraph"/>
              <w:spacing w:before="6"/>
              <w:rPr>
                <w:sz w:val="19"/>
              </w:rPr>
            </w:pPr>
          </w:p>
          <w:p>
            <w:pPr>
              <w:pStyle w:val="TableParagraph"/>
              <w:ind w:left="121" w:right="121"/>
              <w:jc w:val="center"/>
              <w:rPr>
                <w:rFonts w:ascii="Calibri"/>
                <w:sz w:val="20"/>
              </w:rPr>
            </w:pPr>
            <w:r>
              <w:rPr>
                <w:rFonts w:ascii="Calibri"/>
                <w:sz w:val="20"/>
              </w:rPr>
              <w:t>Red Box</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3" w:right="166"/>
              <w:jc w:val="center"/>
              <w:rPr>
                <w:rFonts w:ascii="Calibri"/>
                <w:sz w:val="20"/>
              </w:rPr>
            </w:pPr>
            <w:r>
              <w:rPr>
                <w:rFonts w:ascii="Calibri"/>
                <w:sz w:val="20"/>
              </w:rPr>
              <w:t>USFS</w:t>
            </w:r>
          </w:p>
        </w:tc>
        <w:tc>
          <w:tcPr>
            <w:tcW w:w="900" w:type="dxa"/>
          </w:tcPr>
          <w:p>
            <w:pPr>
              <w:pStyle w:val="TableParagraph"/>
              <w:spacing w:before="6"/>
              <w:rPr>
                <w:sz w:val="19"/>
              </w:rPr>
            </w:pPr>
          </w:p>
          <w:p>
            <w:pPr>
              <w:pStyle w:val="TableParagraph"/>
              <w:ind w:left="113" w:right="109"/>
              <w:jc w:val="center"/>
              <w:rPr>
                <w:rFonts w:ascii="Calibri"/>
                <w:sz w:val="20"/>
              </w:rPr>
            </w:pPr>
            <w:r>
              <w:rPr>
                <w:rFonts w:ascii="Calibri"/>
                <w:sz w:val="20"/>
              </w:rPr>
              <w:t>45.03</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-121.92</w:t>
            </w:r>
          </w:p>
        </w:tc>
        <w:tc>
          <w:tcPr>
            <w:tcW w:w="811" w:type="dxa"/>
          </w:tcPr>
          <w:p>
            <w:pPr>
              <w:pStyle w:val="TableParagraph"/>
              <w:spacing w:before="6"/>
              <w:rPr>
                <w:sz w:val="19"/>
              </w:rPr>
            </w:pPr>
          </w:p>
          <w:p>
            <w:pPr>
              <w:pStyle w:val="TableParagraph"/>
              <w:ind w:left="177" w:right="173"/>
              <w:jc w:val="center"/>
              <w:rPr>
                <w:rFonts w:ascii="Calibri"/>
                <w:sz w:val="20"/>
              </w:rPr>
            </w:pPr>
            <w:r>
              <w:rPr>
                <w:rFonts w:ascii="Calibri"/>
                <w:sz w:val="20"/>
              </w:rPr>
              <w:t>3250</w:t>
            </w:r>
          </w:p>
        </w:tc>
        <w:tc>
          <w:tcPr>
            <w:tcW w:w="1440" w:type="dxa"/>
          </w:tcPr>
          <w:p>
            <w:pPr>
              <w:pStyle w:val="TableParagraph"/>
              <w:spacing w:before="102"/>
              <w:ind w:left="345" w:firstLine="100"/>
              <w:rPr>
                <w:rFonts w:ascii="Calibri"/>
                <w:sz w:val="20"/>
              </w:rPr>
            </w:pPr>
            <w:r>
              <w:rPr>
                <w:rFonts w:ascii="Calibri"/>
                <w:sz w:val="20"/>
              </w:rPr>
              <w:t>SW-on </w:t>
            </w:r>
            <w:r>
              <w:rPr>
                <w:rFonts w:ascii="Calibri"/>
                <w:w w:val="90"/>
                <w:sz w:val="20"/>
              </w:rPr>
              <w:t>midslope</w:t>
            </w:r>
          </w:p>
        </w:tc>
      </w:tr>
      <w:tr>
        <w:trPr>
          <w:trHeight w:val="690" w:hRule="atLeast"/>
        </w:trPr>
        <w:tc>
          <w:tcPr>
            <w:tcW w:w="895" w:type="dxa"/>
          </w:tcPr>
          <w:p>
            <w:pPr>
              <w:pStyle w:val="TableParagraph"/>
              <w:rPr>
                <w:rFonts w:ascii="Times New Roman"/>
                <w:sz w:val="18"/>
              </w:rPr>
            </w:pP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350725</w:t>
            </w:r>
          </w:p>
        </w:tc>
        <w:tc>
          <w:tcPr>
            <w:tcW w:w="1711" w:type="dxa"/>
          </w:tcPr>
          <w:p>
            <w:pPr>
              <w:pStyle w:val="TableParagraph"/>
              <w:spacing w:before="6"/>
              <w:rPr>
                <w:sz w:val="19"/>
              </w:rPr>
            </w:pPr>
          </w:p>
          <w:p>
            <w:pPr>
              <w:pStyle w:val="TableParagraph"/>
              <w:ind w:left="121" w:right="121"/>
              <w:jc w:val="center"/>
              <w:rPr>
                <w:rFonts w:ascii="Calibri"/>
                <w:sz w:val="20"/>
              </w:rPr>
            </w:pPr>
            <w:r>
              <w:rPr>
                <w:rFonts w:ascii="Calibri"/>
                <w:sz w:val="20"/>
              </w:rPr>
              <w:t>Si Si Lookout</w:t>
            </w:r>
          </w:p>
        </w:tc>
        <w:tc>
          <w:tcPr>
            <w:tcW w:w="629" w:type="dxa"/>
          </w:tcPr>
          <w:p>
            <w:pPr>
              <w:pStyle w:val="TableParagraph"/>
              <w:spacing w:before="6"/>
              <w:rPr>
                <w:sz w:val="19"/>
              </w:rPr>
            </w:pPr>
          </w:p>
          <w:p>
            <w:pPr>
              <w:pStyle w:val="TableParagraph"/>
              <w:jc w:val="center"/>
              <w:rPr>
                <w:rFonts w:ascii="Calibri"/>
                <w:sz w:val="20"/>
              </w:rPr>
            </w:pPr>
            <w:r>
              <w:rPr>
                <w:rFonts w:ascii="Calibri"/>
                <w:w w:val="98"/>
                <w:sz w:val="20"/>
              </w:rPr>
              <w:t>M</w:t>
            </w:r>
          </w:p>
        </w:tc>
        <w:tc>
          <w:tcPr>
            <w:tcW w:w="1080" w:type="dxa"/>
          </w:tcPr>
          <w:p>
            <w:pPr>
              <w:pStyle w:val="TableParagraph"/>
              <w:spacing w:before="6"/>
              <w:rPr>
                <w:sz w:val="19"/>
              </w:rPr>
            </w:pPr>
          </w:p>
          <w:p>
            <w:pPr>
              <w:pStyle w:val="TableParagraph"/>
              <w:ind w:left="173" w:right="166"/>
              <w:jc w:val="center"/>
              <w:rPr>
                <w:rFonts w:ascii="Calibri"/>
                <w:sz w:val="20"/>
              </w:rPr>
            </w:pPr>
            <w:r>
              <w:rPr>
                <w:rFonts w:ascii="Calibri"/>
                <w:sz w:val="20"/>
              </w:rPr>
              <w:t>USFS</w:t>
            </w:r>
          </w:p>
        </w:tc>
        <w:tc>
          <w:tcPr>
            <w:tcW w:w="900" w:type="dxa"/>
          </w:tcPr>
          <w:p>
            <w:pPr>
              <w:pStyle w:val="TableParagraph"/>
              <w:spacing w:before="6"/>
              <w:rPr>
                <w:sz w:val="19"/>
              </w:rPr>
            </w:pPr>
          </w:p>
          <w:p>
            <w:pPr>
              <w:pStyle w:val="TableParagraph"/>
              <w:ind w:left="113" w:right="109"/>
              <w:jc w:val="center"/>
              <w:rPr>
                <w:rFonts w:ascii="Calibri"/>
                <w:sz w:val="20"/>
              </w:rPr>
            </w:pPr>
            <w:r>
              <w:rPr>
                <w:rFonts w:ascii="Calibri"/>
                <w:sz w:val="20"/>
              </w:rPr>
              <w:t>44.92</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-121.83</w:t>
            </w:r>
          </w:p>
        </w:tc>
        <w:tc>
          <w:tcPr>
            <w:tcW w:w="811" w:type="dxa"/>
          </w:tcPr>
          <w:p>
            <w:pPr>
              <w:pStyle w:val="TableParagraph"/>
              <w:spacing w:before="6"/>
              <w:rPr>
                <w:sz w:val="19"/>
              </w:rPr>
            </w:pPr>
          </w:p>
          <w:p>
            <w:pPr>
              <w:pStyle w:val="TableParagraph"/>
              <w:ind w:left="177" w:right="173"/>
              <w:jc w:val="center"/>
              <w:rPr>
                <w:rFonts w:ascii="Calibri"/>
                <w:sz w:val="20"/>
              </w:rPr>
            </w:pPr>
            <w:r>
              <w:rPr>
                <w:rFonts w:ascii="Calibri"/>
                <w:sz w:val="20"/>
              </w:rPr>
              <w:t>5617</w:t>
            </w:r>
          </w:p>
        </w:tc>
        <w:tc>
          <w:tcPr>
            <w:tcW w:w="1440" w:type="dxa"/>
          </w:tcPr>
          <w:p>
            <w:pPr>
              <w:pStyle w:val="TableParagraph"/>
              <w:spacing w:before="6"/>
              <w:rPr>
                <w:sz w:val="19"/>
              </w:rPr>
            </w:pPr>
          </w:p>
          <w:p>
            <w:pPr>
              <w:pStyle w:val="TableParagraph"/>
              <w:ind w:left="96" w:right="96"/>
              <w:jc w:val="center"/>
              <w:rPr>
                <w:rFonts w:ascii="Calibri"/>
                <w:sz w:val="20"/>
              </w:rPr>
            </w:pPr>
            <w:r>
              <w:rPr>
                <w:rFonts w:ascii="Calibri"/>
                <w:sz w:val="20"/>
              </w:rPr>
              <w:t>SW-on ridge</w:t>
            </w:r>
          </w:p>
        </w:tc>
      </w:tr>
      <w:tr>
        <w:trPr>
          <w:trHeight w:val="690" w:hRule="atLeast"/>
        </w:trPr>
        <w:tc>
          <w:tcPr>
            <w:tcW w:w="895" w:type="dxa"/>
          </w:tcPr>
          <w:p>
            <w:pPr>
              <w:pStyle w:val="TableParagraph"/>
              <w:rPr>
                <w:rFonts w:ascii="Times New Roman"/>
                <w:sz w:val="18"/>
              </w:rPr>
            </w:pP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350726</w:t>
            </w:r>
          </w:p>
        </w:tc>
        <w:tc>
          <w:tcPr>
            <w:tcW w:w="1711" w:type="dxa"/>
          </w:tcPr>
          <w:p>
            <w:pPr>
              <w:pStyle w:val="TableParagraph"/>
              <w:spacing w:before="6"/>
              <w:rPr>
                <w:sz w:val="19"/>
              </w:rPr>
            </w:pPr>
          </w:p>
          <w:p>
            <w:pPr>
              <w:pStyle w:val="TableParagraph"/>
              <w:ind w:left="119" w:right="124"/>
              <w:jc w:val="center"/>
              <w:rPr>
                <w:rFonts w:ascii="Calibri" w:hAnsi="Calibri"/>
                <w:sz w:val="20"/>
              </w:rPr>
            </w:pPr>
            <w:r>
              <w:rPr>
                <w:rFonts w:ascii="Calibri" w:hAnsi="Calibri"/>
                <w:sz w:val="20"/>
              </w:rPr>
              <w:t>Wanderer’s Peak</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3" w:right="166"/>
              <w:jc w:val="center"/>
              <w:rPr>
                <w:rFonts w:ascii="Calibri"/>
                <w:sz w:val="20"/>
              </w:rPr>
            </w:pPr>
            <w:r>
              <w:rPr>
                <w:rFonts w:ascii="Calibri"/>
                <w:sz w:val="20"/>
              </w:rPr>
              <w:t>USFS</w:t>
            </w:r>
          </w:p>
        </w:tc>
        <w:tc>
          <w:tcPr>
            <w:tcW w:w="900" w:type="dxa"/>
          </w:tcPr>
          <w:p>
            <w:pPr>
              <w:pStyle w:val="TableParagraph"/>
              <w:spacing w:before="6"/>
              <w:rPr>
                <w:sz w:val="19"/>
              </w:rPr>
            </w:pPr>
          </w:p>
          <w:p>
            <w:pPr>
              <w:pStyle w:val="TableParagraph"/>
              <w:ind w:left="113" w:right="109"/>
              <w:jc w:val="center"/>
              <w:rPr>
                <w:rFonts w:ascii="Calibri"/>
                <w:sz w:val="20"/>
              </w:rPr>
            </w:pPr>
            <w:r>
              <w:rPr>
                <w:rFonts w:ascii="Calibri"/>
                <w:sz w:val="20"/>
              </w:rPr>
              <w:t>45.11</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-122.2</w:t>
            </w:r>
          </w:p>
        </w:tc>
        <w:tc>
          <w:tcPr>
            <w:tcW w:w="811" w:type="dxa"/>
          </w:tcPr>
          <w:p>
            <w:pPr>
              <w:pStyle w:val="TableParagraph"/>
              <w:spacing w:before="6"/>
              <w:rPr>
                <w:sz w:val="19"/>
              </w:rPr>
            </w:pPr>
          </w:p>
          <w:p>
            <w:pPr>
              <w:pStyle w:val="TableParagraph"/>
              <w:ind w:left="177" w:right="173"/>
              <w:jc w:val="center"/>
              <w:rPr>
                <w:rFonts w:ascii="Calibri"/>
                <w:sz w:val="20"/>
              </w:rPr>
            </w:pPr>
            <w:r>
              <w:rPr>
                <w:rFonts w:ascii="Calibri"/>
                <w:sz w:val="20"/>
              </w:rPr>
              <w:t>4350</w:t>
            </w:r>
          </w:p>
        </w:tc>
        <w:tc>
          <w:tcPr>
            <w:tcW w:w="1440" w:type="dxa"/>
          </w:tcPr>
          <w:p>
            <w:pPr>
              <w:pStyle w:val="TableParagraph"/>
              <w:spacing w:before="6"/>
              <w:rPr>
                <w:sz w:val="19"/>
              </w:rPr>
            </w:pPr>
          </w:p>
          <w:p>
            <w:pPr>
              <w:pStyle w:val="TableParagraph"/>
              <w:ind w:left="96" w:right="95"/>
              <w:jc w:val="center"/>
              <w:rPr>
                <w:rFonts w:ascii="Calibri"/>
                <w:sz w:val="20"/>
              </w:rPr>
            </w:pPr>
            <w:r>
              <w:rPr>
                <w:rFonts w:ascii="Calibri"/>
                <w:sz w:val="20"/>
              </w:rPr>
              <w:t>S-on ridge</w:t>
            </w:r>
          </w:p>
        </w:tc>
      </w:tr>
      <w:tr>
        <w:trPr>
          <w:trHeight w:val="688" w:hRule="atLeast"/>
        </w:trPr>
        <w:tc>
          <w:tcPr>
            <w:tcW w:w="895" w:type="dxa"/>
          </w:tcPr>
          <w:p>
            <w:pPr>
              <w:pStyle w:val="TableParagraph"/>
              <w:rPr>
                <w:rFonts w:ascii="Times New Roman"/>
                <w:sz w:val="18"/>
              </w:rPr>
            </w:pP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350604</w:t>
            </w:r>
          </w:p>
        </w:tc>
        <w:tc>
          <w:tcPr>
            <w:tcW w:w="1711" w:type="dxa"/>
          </w:tcPr>
          <w:p>
            <w:pPr>
              <w:pStyle w:val="TableParagraph"/>
              <w:spacing w:before="6"/>
              <w:rPr>
                <w:sz w:val="19"/>
              </w:rPr>
            </w:pPr>
          </w:p>
          <w:p>
            <w:pPr>
              <w:pStyle w:val="TableParagraph"/>
              <w:ind w:left="121" w:right="122"/>
              <w:jc w:val="center"/>
              <w:rPr>
                <w:rFonts w:ascii="Calibri"/>
                <w:sz w:val="20"/>
              </w:rPr>
            </w:pPr>
            <w:r>
              <w:rPr>
                <w:rFonts w:ascii="Calibri"/>
                <w:sz w:val="20"/>
              </w:rPr>
              <w:t>Log Creek</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3" w:right="166"/>
              <w:jc w:val="center"/>
              <w:rPr>
                <w:rFonts w:ascii="Calibri"/>
                <w:sz w:val="20"/>
              </w:rPr>
            </w:pPr>
            <w:r>
              <w:rPr>
                <w:rFonts w:ascii="Calibri"/>
                <w:sz w:val="20"/>
              </w:rPr>
              <w:t>USFS</w:t>
            </w:r>
          </w:p>
        </w:tc>
        <w:tc>
          <w:tcPr>
            <w:tcW w:w="900" w:type="dxa"/>
          </w:tcPr>
          <w:p>
            <w:pPr>
              <w:pStyle w:val="TableParagraph"/>
              <w:spacing w:before="6"/>
              <w:rPr>
                <w:sz w:val="19"/>
              </w:rPr>
            </w:pPr>
          </w:p>
          <w:p>
            <w:pPr>
              <w:pStyle w:val="TableParagraph"/>
              <w:ind w:left="113" w:right="109"/>
              <w:jc w:val="center"/>
              <w:rPr>
                <w:rFonts w:ascii="Calibri"/>
                <w:sz w:val="20"/>
              </w:rPr>
            </w:pPr>
            <w:r>
              <w:rPr>
                <w:rFonts w:ascii="Calibri"/>
                <w:sz w:val="20"/>
              </w:rPr>
              <w:t>45.51</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-121.9</w:t>
            </w:r>
          </w:p>
        </w:tc>
        <w:tc>
          <w:tcPr>
            <w:tcW w:w="811" w:type="dxa"/>
          </w:tcPr>
          <w:p>
            <w:pPr>
              <w:pStyle w:val="TableParagraph"/>
              <w:spacing w:before="6"/>
              <w:rPr>
                <w:sz w:val="19"/>
              </w:rPr>
            </w:pPr>
          </w:p>
          <w:p>
            <w:pPr>
              <w:pStyle w:val="TableParagraph"/>
              <w:ind w:left="177" w:right="173"/>
              <w:jc w:val="center"/>
              <w:rPr>
                <w:rFonts w:ascii="Calibri"/>
                <w:sz w:val="20"/>
              </w:rPr>
            </w:pPr>
            <w:r>
              <w:rPr>
                <w:rFonts w:ascii="Calibri"/>
                <w:sz w:val="20"/>
              </w:rPr>
              <w:t>2500</w:t>
            </w:r>
          </w:p>
        </w:tc>
        <w:tc>
          <w:tcPr>
            <w:tcW w:w="1440" w:type="dxa"/>
          </w:tcPr>
          <w:p>
            <w:pPr>
              <w:pStyle w:val="TableParagraph"/>
              <w:spacing w:before="102"/>
              <w:ind w:left="345" w:firstLine="146"/>
              <w:rPr>
                <w:rFonts w:ascii="Calibri"/>
                <w:sz w:val="20"/>
              </w:rPr>
            </w:pPr>
            <w:r>
              <w:rPr>
                <w:rFonts w:ascii="Calibri"/>
                <w:sz w:val="20"/>
              </w:rPr>
              <w:t>W-on </w:t>
            </w:r>
            <w:r>
              <w:rPr>
                <w:rFonts w:ascii="Calibri"/>
                <w:w w:val="90"/>
                <w:sz w:val="20"/>
              </w:rPr>
              <w:t>midslope</w:t>
            </w:r>
          </w:p>
        </w:tc>
      </w:tr>
      <w:tr>
        <w:trPr>
          <w:trHeight w:val="690" w:hRule="atLeast"/>
        </w:trPr>
        <w:tc>
          <w:tcPr>
            <w:tcW w:w="895" w:type="dxa"/>
          </w:tcPr>
          <w:p>
            <w:pPr>
              <w:pStyle w:val="TableParagraph"/>
              <w:rPr>
                <w:rFonts w:ascii="Times New Roman"/>
                <w:sz w:val="18"/>
              </w:rPr>
            </w:pPr>
          </w:p>
        </w:tc>
        <w:tc>
          <w:tcPr>
            <w:tcW w:w="989" w:type="dxa"/>
          </w:tcPr>
          <w:p>
            <w:pPr>
              <w:pStyle w:val="TableParagraph"/>
              <w:spacing w:before="8"/>
              <w:rPr>
                <w:sz w:val="19"/>
              </w:rPr>
            </w:pPr>
          </w:p>
          <w:p>
            <w:pPr>
              <w:pStyle w:val="TableParagraph"/>
              <w:ind w:left="86" w:right="88"/>
              <w:jc w:val="center"/>
              <w:rPr>
                <w:rFonts w:ascii="Calibri"/>
                <w:sz w:val="20"/>
              </w:rPr>
            </w:pPr>
            <w:r>
              <w:rPr>
                <w:rFonts w:ascii="Calibri"/>
                <w:sz w:val="20"/>
              </w:rPr>
              <w:t>350902</w:t>
            </w:r>
          </w:p>
        </w:tc>
        <w:tc>
          <w:tcPr>
            <w:tcW w:w="1711" w:type="dxa"/>
          </w:tcPr>
          <w:p>
            <w:pPr>
              <w:pStyle w:val="TableParagraph"/>
              <w:spacing w:before="8"/>
              <w:rPr>
                <w:sz w:val="19"/>
              </w:rPr>
            </w:pPr>
          </w:p>
          <w:p>
            <w:pPr>
              <w:pStyle w:val="TableParagraph"/>
              <w:ind w:left="121" w:right="121"/>
              <w:jc w:val="center"/>
              <w:rPr>
                <w:rFonts w:ascii="Calibri"/>
                <w:sz w:val="20"/>
              </w:rPr>
            </w:pPr>
            <w:r>
              <w:rPr>
                <w:rFonts w:ascii="Calibri"/>
                <w:sz w:val="20"/>
              </w:rPr>
              <w:t>Clear Lake</w:t>
            </w:r>
          </w:p>
        </w:tc>
        <w:tc>
          <w:tcPr>
            <w:tcW w:w="629" w:type="dxa"/>
          </w:tcPr>
          <w:p>
            <w:pPr>
              <w:pStyle w:val="TableParagraph"/>
              <w:spacing w:before="8"/>
              <w:rPr>
                <w:sz w:val="19"/>
              </w:rPr>
            </w:pPr>
          </w:p>
          <w:p>
            <w:pPr>
              <w:pStyle w:val="TableParagraph"/>
              <w:jc w:val="center"/>
              <w:rPr>
                <w:rFonts w:ascii="Calibri"/>
                <w:sz w:val="20"/>
              </w:rPr>
            </w:pPr>
            <w:r>
              <w:rPr>
                <w:rFonts w:ascii="Calibri"/>
                <w:w w:val="98"/>
                <w:sz w:val="20"/>
              </w:rPr>
              <w:t>M</w:t>
            </w:r>
          </w:p>
        </w:tc>
        <w:tc>
          <w:tcPr>
            <w:tcW w:w="1080" w:type="dxa"/>
          </w:tcPr>
          <w:p>
            <w:pPr>
              <w:pStyle w:val="TableParagraph"/>
              <w:spacing w:before="8"/>
              <w:rPr>
                <w:sz w:val="19"/>
              </w:rPr>
            </w:pPr>
          </w:p>
          <w:p>
            <w:pPr>
              <w:pStyle w:val="TableParagraph"/>
              <w:ind w:left="173" w:right="166"/>
              <w:jc w:val="center"/>
              <w:rPr>
                <w:rFonts w:ascii="Calibri"/>
                <w:sz w:val="20"/>
              </w:rPr>
            </w:pPr>
            <w:r>
              <w:rPr>
                <w:rFonts w:ascii="Calibri"/>
                <w:sz w:val="20"/>
              </w:rPr>
              <w:t>USFS</w:t>
            </w:r>
          </w:p>
        </w:tc>
        <w:tc>
          <w:tcPr>
            <w:tcW w:w="900" w:type="dxa"/>
          </w:tcPr>
          <w:p>
            <w:pPr>
              <w:pStyle w:val="TableParagraph"/>
              <w:spacing w:before="8"/>
              <w:rPr>
                <w:sz w:val="19"/>
              </w:rPr>
            </w:pPr>
          </w:p>
          <w:p>
            <w:pPr>
              <w:pStyle w:val="TableParagraph"/>
              <w:ind w:left="113" w:right="109"/>
              <w:jc w:val="center"/>
              <w:rPr>
                <w:rFonts w:ascii="Calibri"/>
                <w:sz w:val="20"/>
              </w:rPr>
            </w:pPr>
            <w:r>
              <w:rPr>
                <w:rFonts w:ascii="Calibri"/>
                <w:sz w:val="20"/>
              </w:rPr>
              <w:t>45.15</w:t>
            </w:r>
          </w:p>
        </w:tc>
        <w:tc>
          <w:tcPr>
            <w:tcW w:w="900" w:type="dxa"/>
          </w:tcPr>
          <w:p>
            <w:pPr>
              <w:pStyle w:val="TableParagraph"/>
              <w:spacing w:before="8"/>
              <w:rPr>
                <w:sz w:val="19"/>
              </w:rPr>
            </w:pPr>
          </w:p>
          <w:p>
            <w:pPr>
              <w:pStyle w:val="TableParagraph"/>
              <w:ind w:left="109" w:right="109"/>
              <w:jc w:val="center"/>
              <w:rPr>
                <w:rFonts w:ascii="Calibri"/>
                <w:sz w:val="20"/>
              </w:rPr>
            </w:pPr>
            <w:r>
              <w:rPr>
                <w:rFonts w:ascii="Calibri"/>
                <w:sz w:val="20"/>
              </w:rPr>
              <w:t>-121.58</w:t>
            </w:r>
          </w:p>
        </w:tc>
        <w:tc>
          <w:tcPr>
            <w:tcW w:w="811" w:type="dxa"/>
          </w:tcPr>
          <w:p>
            <w:pPr>
              <w:pStyle w:val="TableParagraph"/>
              <w:spacing w:before="8"/>
              <w:rPr>
                <w:sz w:val="19"/>
              </w:rPr>
            </w:pPr>
          </w:p>
          <w:p>
            <w:pPr>
              <w:pStyle w:val="TableParagraph"/>
              <w:ind w:left="177" w:right="173"/>
              <w:jc w:val="center"/>
              <w:rPr>
                <w:rFonts w:ascii="Calibri"/>
                <w:sz w:val="20"/>
              </w:rPr>
            </w:pPr>
            <w:r>
              <w:rPr>
                <w:rFonts w:ascii="Calibri"/>
                <w:sz w:val="20"/>
              </w:rPr>
              <w:t>4458</w:t>
            </w:r>
          </w:p>
        </w:tc>
        <w:tc>
          <w:tcPr>
            <w:tcW w:w="1440" w:type="dxa"/>
          </w:tcPr>
          <w:p>
            <w:pPr>
              <w:pStyle w:val="TableParagraph"/>
              <w:spacing w:before="8"/>
              <w:rPr>
                <w:sz w:val="19"/>
              </w:rPr>
            </w:pPr>
          </w:p>
          <w:p>
            <w:pPr>
              <w:pStyle w:val="TableParagraph"/>
              <w:ind w:left="96" w:right="95"/>
              <w:jc w:val="center"/>
              <w:rPr>
                <w:rFonts w:ascii="Calibri"/>
                <w:sz w:val="20"/>
              </w:rPr>
            </w:pPr>
            <w:r>
              <w:rPr>
                <w:rFonts w:ascii="Calibri"/>
                <w:sz w:val="20"/>
              </w:rPr>
              <w:t>W-on ridge</w:t>
            </w:r>
          </w:p>
        </w:tc>
      </w:tr>
      <w:tr>
        <w:trPr>
          <w:trHeight w:val="690" w:hRule="atLeast"/>
        </w:trPr>
        <w:tc>
          <w:tcPr>
            <w:tcW w:w="895" w:type="dxa"/>
          </w:tcPr>
          <w:p>
            <w:pPr>
              <w:pStyle w:val="TableParagraph"/>
              <w:spacing w:before="196"/>
              <w:ind w:left="249" w:right="230"/>
              <w:jc w:val="center"/>
              <w:rPr>
                <w:rFonts w:ascii="Calibri"/>
                <w:b/>
                <w:sz w:val="24"/>
              </w:rPr>
            </w:pPr>
            <w:r>
              <w:rPr>
                <w:rFonts w:ascii="Calibri"/>
                <w:b/>
                <w:sz w:val="24"/>
              </w:rPr>
              <w:t>608</w:t>
            </w: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352554</w:t>
            </w:r>
          </w:p>
        </w:tc>
        <w:tc>
          <w:tcPr>
            <w:tcW w:w="1711" w:type="dxa"/>
          </w:tcPr>
          <w:p>
            <w:pPr>
              <w:pStyle w:val="TableParagraph"/>
              <w:spacing w:before="6"/>
              <w:rPr>
                <w:sz w:val="19"/>
              </w:rPr>
            </w:pPr>
          </w:p>
          <w:p>
            <w:pPr>
              <w:pStyle w:val="TableParagraph"/>
              <w:ind w:left="121" w:right="122"/>
              <w:jc w:val="center"/>
              <w:rPr>
                <w:rFonts w:ascii="Calibri"/>
                <w:sz w:val="20"/>
              </w:rPr>
            </w:pPr>
            <w:r>
              <w:rPr>
                <w:rFonts w:ascii="Calibri"/>
                <w:sz w:val="20"/>
              </w:rPr>
              <w:t>Pebble</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3" w:right="166"/>
              <w:jc w:val="center"/>
              <w:rPr>
                <w:rFonts w:ascii="Calibri"/>
                <w:sz w:val="20"/>
              </w:rPr>
            </w:pPr>
            <w:r>
              <w:rPr>
                <w:rFonts w:ascii="Calibri"/>
                <w:sz w:val="20"/>
              </w:rPr>
              <w:t>USFS</w:t>
            </w:r>
          </w:p>
        </w:tc>
        <w:tc>
          <w:tcPr>
            <w:tcW w:w="900" w:type="dxa"/>
          </w:tcPr>
          <w:p>
            <w:pPr>
              <w:pStyle w:val="TableParagraph"/>
              <w:spacing w:before="6"/>
              <w:rPr>
                <w:sz w:val="19"/>
              </w:rPr>
            </w:pPr>
          </w:p>
          <w:p>
            <w:pPr>
              <w:pStyle w:val="TableParagraph"/>
              <w:ind w:left="113" w:right="109"/>
              <w:jc w:val="center"/>
              <w:rPr>
                <w:rFonts w:ascii="Calibri"/>
                <w:sz w:val="20"/>
              </w:rPr>
            </w:pPr>
            <w:r>
              <w:rPr>
                <w:rFonts w:ascii="Calibri"/>
                <w:sz w:val="20"/>
              </w:rPr>
              <w:t>44.23</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-121.98</w:t>
            </w:r>
          </w:p>
        </w:tc>
        <w:tc>
          <w:tcPr>
            <w:tcW w:w="811" w:type="dxa"/>
          </w:tcPr>
          <w:p>
            <w:pPr>
              <w:pStyle w:val="TableParagraph"/>
              <w:spacing w:before="6"/>
              <w:rPr>
                <w:sz w:val="19"/>
              </w:rPr>
            </w:pPr>
          </w:p>
          <w:p>
            <w:pPr>
              <w:pStyle w:val="TableParagraph"/>
              <w:ind w:left="177" w:right="173"/>
              <w:jc w:val="center"/>
              <w:rPr>
                <w:rFonts w:ascii="Calibri"/>
                <w:sz w:val="20"/>
              </w:rPr>
            </w:pPr>
            <w:r>
              <w:rPr>
                <w:rFonts w:ascii="Calibri"/>
                <w:sz w:val="20"/>
              </w:rPr>
              <w:t>3560</w:t>
            </w:r>
          </w:p>
        </w:tc>
        <w:tc>
          <w:tcPr>
            <w:tcW w:w="1440" w:type="dxa"/>
          </w:tcPr>
          <w:p>
            <w:pPr>
              <w:pStyle w:val="TableParagraph"/>
              <w:spacing w:before="102"/>
              <w:ind w:left="345" w:firstLine="100"/>
              <w:rPr>
                <w:rFonts w:ascii="Calibri"/>
                <w:sz w:val="20"/>
              </w:rPr>
            </w:pPr>
            <w:r>
              <w:rPr>
                <w:rFonts w:ascii="Calibri"/>
                <w:sz w:val="20"/>
              </w:rPr>
              <w:t>SW-on </w:t>
            </w:r>
            <w:r>
              <w:rPr>
                <w:rFonts w:ascii="Calibri"/>
                <w:w w:val="90"/>
                <w:sz w:val="20"/>
              </w:rPr>
              <w:t>midslope</w:t>
            </w:r>
          </w:p>
        </w:tc>
      </w:tr>
      <w:tr>
        <w:trPr>
          <w:trHeight w:val="688" w:hRule="atLeast"/>
        </w:trPr>
        <w:tc>
          <w:tcPr>
            <w:tcW w:w="895" w:type="dxa"/>
          </w:tcPr>
          <w:p>
            <w:pPr>
              <w:pStyle w:val="TableParagraph"/>
              <w:rPr>
                <w:rFonts w:ascii="Times New Roman"/>
                <w:sz w:val="18"/>
              </w:rPr>
            </w:pP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352557</w:t>
            </w:r>
          </w:p>
        </w:tc>
        <w:tc>
          <w:tcPr>
            <w:tcW w:w="1711" w:type="dxa"/>
          </w:tcPr>
          <w:p>
            <w:pPr>
              <w:pStyle w:val="TableParagraph"/>
              <w:spacing w:before="6"/>
              <w:rPr>
                <w:sz w:val="19"/>
              </w:rPr>
            </w:pPr>
          </w:p>
          <w:p>
            <w:pPr>
              <w:pStyle w:val="TableParagraph"/>
              <w:ind w:left="121" w:right="120"/>
              <w:jc w:val="center"/>
              <w:rPr>
                <w:rFonts w:ascii="Calibri"/>
                <w:sz w:val="20"/>
              </w:rPr>
            </w:pPr>
            <w:r>
              <w:rPr>
                <w:rFonts w:ascii="Calibri"/>
                <w:sz w:val="20"/>
              </w:rPr>
              <w:t>Fields</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3" w:right="166"/>
              <w:jc w:val="center"/>
              <w:rPr>
                <w:rFonts w:ascii="Calibri"/>
                <w:sz w:val="20"/>
              </w:rPr>
            </w:pPr>
            <w:r>
              <w:rPr>
                <w:rFonts w:ascii="Calibri"/>
                <w:sz w:val="20"/>
              </w:rPr>
              <w:t>USFS</w:t>
            </w:r>
          </w:p>
        </w:tc>
        <w:tc>
          <w:tcPr>
            <w:tcW w:w="900" w:type="dxa"/>
          </w:tcPr>
          <w:p>
            <w:pPr>
              <w:pStyle w:val="TableParagraph"/>
              <w:spacing w:before="6"/>
              <w:rPr>
                <w:sz w:val="19"/>
              </w:rPr>
            </w:pPr>
          </w:p>
          <w:p>
            <w:pPr>
              <w:pStyle w:val="TableParagraph"/>
              <w:ind w:left="113" w:right="109"/>
              <w:jc w:val="center"/>
              <w:rPr>
                <w:rFonts w:ascii="Calibri"/>
                <w:sz w:val="20"/>
              </w:rPr>
            </w:pPr>
            <w:r>
              <w:rPr>
                <w:rFonts w:ascii="Calibri"/>
                <w:sz w:val="20"/>
              </w:rPr>
              <w:t>43.73</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-122.28</w:t>
            </w:r>
          </w:p>
        </w:tc>
        <w:tc>
          <w:tcPr>
            <w:tcW w:w="811" w:type="dxa"/>
          </w:tcPr>
          <w:p>
            <w:pPr>
              <w:pStyle w:val="TableParagraph"/>
              <w:spacing w:before="6"/>
              <w:rPr>
                <w:sz w:val="19"/>
              </w:rPr>
            </w:pPr>
          </w:p>
          <w:p>
            <w:pPr>
              <w:pStyle w:val="TableParagraph"/>
              <w:ind w:left="177" w:right="173"/>
              <w:jc w:val="center"/>
              <w:rPr>
                <w:rFonts w:ascii="Calibri"/>
                <w:sz w:val="20"/>
              </w:rPr>
            </w:pPr>
            <w:r>
              <w:rPr>
                <w:rFonts w:ascii="Calibri"/>
                <w:sz w:val="20"/>
              </w:rPr>
              <w:t>3360</w:t>
            </w:r>
          </w:p>
        </w:tc>
        <w:tc>
          <w:tcPr>
            <w:tcW w:w="1440" w:type="dxa"/>
          </w:tcPr>
          <w:p>
            <w:pPr>
              <w:pStyle w:val="TableParagraph"/>
              <w:spacing w:before="6"/>
              <w:rPr>
                <w:sz w:val="19"/>
              </w:rPr>
            </w:pPr>
          </w:p>
          <w:p>
            <w:pPr>
              <w:pStyle w:val="TableParagraph"/>
              <w:ind w:left="96" w:right="93"/>
              <w:jc w:val="center"/>
              <w:rPr>
                <w:rFonts w:ascii="Calibri"/>
                <w:sz w:val="20"/>
              </w:rPr>
            </w:pPr>
            <w:r>
              <w:rPr>
                <w:rFonts w:ascii="Calibri"/>
                <w:sz w:val="20"/>
              </w:rPr>
              <w:t>Flat-on ridge</w:t>
            </w:r>
          </w:p>
        </w:tc>
      </w:tr>
      <w:tr>
        <w:trPr>
          <w:trHeight w:val="690" w:hRule="atLeast"/>
        </w:trPr>
        <w:tc>
          <w:tcPr>
            <w:tcW w:w="895" w:type="dxa"/>
          </w:tcPr>
          <w:p>
            <w:pPr>
              <w:pStyle w:val="TableParagraph"/>
              <w:rPr>
                <w:rFonts w:ascii="Times New Roman"/>
                <w:sz w:val="18"/>
              </w:rPr>
            </w:pP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352558</w:t>
            </w:r>
          </w:p>
        </w:tc>
        <w:tc>
          <w:tcPr>
            <w:tcW w:w="1711" w:type="dxa"/>
          </w:tcPr>
          <w:p>
            <w:pPr>
              <w:pStyle w:val="TableParagraph"/>
              <w:spacing w:before="6"/>
              <w:rPr>
                <w:sz w:val="19"/>
              </w:rPr>
            </w:pPr>
          </w:p>
          <w:p>
            <w:pPr>
              <w:pStyle w:val="TableParagraph"/>
              <w:ind w:left="121" w:right="119"/>
              <w:jc w:val="center"/>
              <w:rPr>
                <w:rFonts w:ascii="Calibri"/>
                <w:sz w:val="20"/>
              </w:rPr>
            </w:pPr>
            <w:r>
              <w:rPr>
                <w:rFonts w:ascii="Calibri"/>
                <w:sz w:val="20"/>
              </w:rPr>
              <w:t>Emigrant</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3" w:right="166"/>
              <w:jc w:val="center"/>
              <w:rPr>
                <w:rFonts w:ascii="Calibri"/>
                <w:sz w:val="20"/>
              </w:rPr>
            </w:pPr>
            <w:r>
              <w:rPr>
                <w:rFonts w:ascii="Calibri"/>
                <w:sz w:val="20"/>
              </w:rPr>
              <w:t>USFS</w:t>
            </w:r>
          </w:p>
        </w:tc>
        <w:tc>
          <w:tcPr>
            <w:tcW w:w="900" w:type="dxa"/>
          </w:tcPr>
          <w:p>
            <w:pPr>
              <w:pStyle w:val="TableParagraph"/>
              <w:spacing w:before="6"/>
              <w:rPr>
                <w:sz w:val="19"/>
              </w:rPr>
            </w:pPr>
          </w:p>
          <w:p>
            <w:pPr>
              <w:pStyle w:val="TableParagraph"/>
              <w:ind w:left="113" w:right="109"/>
              <w:jc w:val="center"/>
              <w:rPr>
                <w:rFonts w:ascii="Calibri"/>
                <w:sz w:val="20"/>
              </w:rPr>
            </w:pPr>
            <w:r>
              <w:rPr>
                <w:rFonts w:ascii="Calibri"/>
                <w:sz w:val="20"/>
              </w:rPr>
              <w:t>43.47</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-122.22</w:t>
            </w:r>
          </w:p>
        </w:tc>
        <w:tc>
          <w:tcPr>
            <w:tcW w:w="811" w:type="dxa"/>
          </w:tcPr>
          <w:p>
            <w:pPr>
              <w:pStyle w:val="TableParagraph"/>
              <w:spacing w:before="6"/>
              <w:rPr>
                <w:sz w:val="19"/>
              </w:rPr>
            </w:pPr>
          </w:p>
          <w:p>
            <w:pPr>
              <w:pStyle w:val="TableParagraph"/>
              <w:ind w:left="177" w:right="173"/>
              <w:jc w:val="center"/>
              <w:rPr>
                <w:rFonts w:ascii="Calibri"/>
                <w:sz w:val="20"/>
              </w:rPr>
            </w:pPr>
            <w:r>
              <w:rPr>
                <w:rFonts w:ascii="Calibri"/>
                <w:sz w:val="20"/>
              </w:rPr>
              <w:t>3840</w:t>
            </w:r>
          </w:p>
        </w:tc>
        <w:tc>
          <w:tcPr>
            <w:tcW w:w="1440" w:type="dxa"/>
          </w:tcPr>
          <w:p>
            <w:pPr>
              <w:pStyle w:val="TableParagraph"/>
              <w:spacing w:before="6"/>
              <w:rPr>
                <w:sz w:val="19"/>
              </w:rPr>
            </w:pPr>
          </w:p>
          <w:p>
            <w:pPr>
              <w:pStyle w:val="TableParagraph"/>
              <w:ind w:left="96" w:right="95"/>
              <w:jc w:val="center"/>
              <w:rPr>
                <w:rFonts w:ascii="Calibri"/>
                <w:sz w:val="20"/>
              </w:rPr>
            </w:pPr>
            <w:r>
              <w:rPr>
                <w:rFonts w:ascii="Calibri"/>
                <w:sz w:val="20"/>
              </w:rPr>
              <w:t>S-on ridge</w:t>
            </w:r>
          </w:p>
        </w:tc>
      </w:tr>
      <w:tr>
        <w:trPr>
          <w:trHeight w:val="690" w:hRule="atLeast"/>
        </w:trPr>
        <w:tc>
          <w:tcPr>
            <w:tcW w:w="895" w:type="dxa"/>
          </w:tcPr>
          <w:p>
            <w:pPr>
              <w:pStyle w:val="TableParagraph"/>
              <w:rPr>
                <w:rFonts w:ascii="Times New Roman"/>
                <w:sz w:val="18"/>
              </w:rPr>
            </w:pP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351909</w:t>
            </w:r>
          </w:p>
        </w:tc>
        <w:tc>
          <w:tcPr>
            <w:tcW w:w="1711" w:type="dxa"/>
          </w:tcPr>
          <w:p>
            <w:pPr>
              <w:pStyle w:val="TableParagraph"/>
              <w:spacing w:before="6"/>
              <w:rPr>
                <w:sz w:val="19"/>
              </w:rPr>
            </w:pPr>
          </w:p>
          <w:p>
            <w:pPr>
              <w:pStyle w:val="TableParagraph"/>
              <w:ind w:left="121" w:right="121"/>
              <w:jc w:val="center"/>
              <w:rPr>
                <w:rFonts w:ascii="Calibri"/>
                <w:sz w:val="20"/>
              </w:rPr>
            </w:pPr>
            <w:r>
              <w:rPr>
                <w:rFonts w:ascii="Calibri"/>
                <w:sz w:val="20"/>
              </w:rPr>
              <w:t>Boulder</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3" w:right="166"/>
              <w:jc w:val="center"/>
              <w:rPr>
                <w:rFonts w:ascii="Calibri"/>
                <w:sz w:val="20"/>
              </w:rPr>
            </w:pPr>
            <w:r>
              <w:rPr>
                <w:rFonts w:ascii="Calibri"/>
                <w:sz w:val="20"/>
              </w:rPr>
              <w:t>USFS</w:t>
            </w:r>
          </w:p>
        </w:tc>
        <w:tc>
          <w:tcPr>
            <w:tcW w:w="900" w:type="dxa"/>
          </w:tcPr>
          <w:p>
            <w:pPr>
              <w:pStyle w:val="TableParagraph"/>
              <w:spacing w:before="6"/>
              <w:rPr>
                <w:sz w:val="19"/>
              </w:rPr>
            </w:pPr>
          </w:p>
          <w:p>
            <w:pPr>
              <w:pStyle w:val="TableParagraph"/>
              <w:ind w:left="113" w:right="109"/>
              <w:jc w:val="center"/>
              <w:rPr>
                <w:rFonts w:ascii="Calibri"/>
                <w:sz w:val="20"/>
              </w:rPr>
            </w:pPr>
            <w:r>
              <w:rPr>
                <w:rFonts w:ascii="Calibri"/>
                <w:sz w:val="20"/>
              </w:rPr>
              <w:t>44.98</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-122</w:t>
            </w:r>
          </w:p>
        </w:tc>
        <w:tc>
          <w:tcPr>
            <w:tcW w:w="811" w:type="dxa"/>
          </w:tcPr>
          <w:p>
            <w:pPr>
              <w:pStyle w:val="TableParagraph"/>
              <w:spacing w:before="6"/>
              <w:rPr>
                <w:sz w:val="19"/>
              </w:rPr>
            </w:pPr>
          </w:p>
          <w:p>
            <w:pPr>
              <w:pStyle w:val="TableParagraph"/>
              <w:ind w:left="177" w:right="173"/>
              <w:jc w:val="center"/>
              <w:rPr>
                <w:rFonts w:ascii="Calibri"/>
                <w:sz w:val="20"/>
              </w:rPr>
            </w:pPr>
            <w:r>
              <w:rPr>
                <w:rFonts w:ascii="Calibri"/>
                <w:sz w:val="20"/>
              </w:rPr>
              <w:t>3570</w:t>
            </w:r>
          </w:p>
        </w:tc>
        <w:tc>
          <w:tcPr>
            <w:tcW w:w="1440" w:type="dxa"/>
          </w:tcPr>
          <w:p>
            <w:pPr>
              <w:pStyle w:val="TableParagraph"/>
              <w:spacing w:before="6"/>
              <w:rPr>
                <w:sz w:val="19"/>
              </w:rPr>
            </w:pPr>
          </w:p>
          <w:p>
            <w:pPr>
              <w:pStyle w:val="TableParagraph"/>
              <w:ind w:left="96" w:right="95"/>
              <w:jc w:val="center"/>
              <w:rPr>
                <w:rFonts w:ascii="Calibri"/>
                <w:sz w:val="20"/>
              </w:rPr>
            </w:pPr>
            <w:r>
              <w:rPr>
                <w:rFonts w:ascii="Calibri"/>
                <w:sz w:val="20"/>
              </w:rPr>
              <w:t>Flat-in valley</w:t>
            </w:r>
          </w:p>
        </w:tc>
      </w:tr>
      <w:tr>
        <w:trPr>
          <w:trHeight w:val="688" w:hRule="atLeast"/>
        </w:trPr>
        <w:tc>
          <w:tcPr>
            <w:tcW w:w="895" w:type="dxa"/>
          </w:tcPr>
          <w:p>
            <w:pPr>
              <w:pStyle w:val="TableParagraph"/>
              <w:spacing w:before="196"/>
              <w:ind w:left="249" w:right="230"/>
              <w:jc w:val="center"/>
              <w:rPr>
                <w:rFonts w:ascii="Calibri"/>
                <w:b/>
                <w:sz w:val="24"/>
              </w:rPr>
            </w:pPr>
            <w:r>
              <w:rPr>
                <w:rFonts w:ascii="Calibri"/>
                <w:b/>
                <w:sz w:val="24"/>
              </w:rPr>
              <w:t>612</w:t>
            </w:r>
          </w:p>
        </w:tc>
        <w:tc>
          <w:tcPr>
            <w:tcW w:w="989" w:type="dxa"/>
          </w:tcPr>
          <w:p>
            <w:pPr>
              <w:pStyle w:val="TableParagraph"/>
              <w:spacing w:before="3"/>
              <w:rPr>
                <w:sz w:val="19"/>
              </w:rPr>
            </w:pPr>
          </w:p>
          <w:p>
            <w:pPr>
              <w:pStyle w:val="TableParagraph"/>
              <w:ind w:left="86" w:right="88"/>
              <w:jc w:val="center"/>
              <w:rPr>
                <w:rFonts w:ascii="Calibri"/>
                <w:sz w:val="20"/>
              </w:rPr>
            </w:pPr>
            <w:r>
              <w:rPr>
                <w:rFonts w:ascii="Calibri"/>
                <w:sz w:val="20"/>
              </w:rPr>
              <w:t>351604</w:t>
            </w:r>
          </w:p>
        </w:tc>
        <w:tc>
          <w:tcPr>
            <w:tcW w:w="1711" w:type="dxa"/>
          </w:tcPr>
          <w:p>
            <w:pPr>
              <w:pStyle w:val="TableParagraph"/>
              <w:spacing w:before="3"/>
              <w:rPr>
                <w:sz w:val="19"/>
              </w:rPr>
            </w:pPr>
          </w:p>
          <w:p>
            <w:pPr>
              <w:pStyle w:val="TableParagraph"/>
              <w:ind w:left="121" w:right="119"/>
              <w:jc w:val="center"/>
              <w:rPr>
                <w:rFonts w:ascii="Calibri"/>
                <w:sz w:val="20"/>
              </w:rPr>
            </w:pPr>
            <w:r>
              <w:rPr>
                <w:rFonts w:ascii="Calibri"/>
                <w:sz w:val="20"/>
              </w:rPr>
              <w:t>Cannibal</w:t>
            </w:r>
          </w:p>
        </w:tc>
        <w:tc>
          <w:tcPr>
            <w:tcW w:w="629" w:type="dxa"/>
          </w:tcPr>
          <w:p>
            <w:pPr>
              <w:pStyle w:val="TableParagraph"/>
              <w:spacing w:before="3"/>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3"/>
              <w:rPr>
                <w:sz w:val="19"/>
              </w:rPr>
            </w:pPr>
          </w:p>
          <w:p>
            <w:pPr>
              <w:pStyle w:val="TableParagraph"/>
              <w:ind w:left="173" w:right="166"/>
              <w:jc w:val="center"/>
              <w:rPr>
                <w:rFonts w:ascii="Calibri"/>
                <w:sz w:val="20"/>
              </w:rPr>
            </w:pPr>
            <w:r>
              <w:rPr>
                <w:rFonts w:ascii="Calibri"/>
                <w:sz w:val="20"/>
              </w:rPr>
              <w:t>USFS</w:t>
            </w:r>
          </w:p>
        </w:tc>
        <w:tc>
          <w:tcPr>
            <w:tcW w:w="900" w:type="dxa"/>
          </w:tcPr>
          <w:p>
            <w:pPr>
              <w:pStyle w:val="TableParagraph"/>
              <w:spacing w:before="3"/>
              <w:rPr>
                <w:sz w:val="19"/>
              </w:rPr>
            </w:pPr>
          </w:p>
          <w:p>
            <w:pPr>
              <w:pStyle w:val="TableParagraph"/>
              <w:ind w:left="113" w:right="109"/>
              <w:jc w:val="center"/>
              <w:rPr>
                <w:rFonts w:ascii="Calibri"/>
                <w:sz w:val="20"/>
              </w:rPr>
            </w:pPr>
            <w:r>
              <w:rPr>
                <w:rFonts w:ascii="Calibri"/>
                <w:sz w:val="20"/>
              </w:rPr>
              <w:t>44.35</w:t>
            </w:r>
          </w:p>
        </w:tc>
        <w:tc>
          <w:tcPr>
            <w:tcW w:w="900" w:type="dxa"/>
          </w:tcPr>
          <w:p>
            <w:pPr>
              <w:pStyle w:val="TableParagraph"/>
              <w:spacing w:before="3"/>
              <w:rPr>
                <w:sz w:val="19"/>
              </w:rPr>
            </w:pPr>
          </w:p>
          <w:p>
            <w:pPr>
              <w:pStyle w:val="TableParagraph"/>
              <w:ind w:left="109" w:right="109"/>
              <w:jc w:val="center"/>
              <w:rPr>
                <w:rFonts w:ascii="Calibri"/>
                <w:sz w:val="20"/>
              </w:rPr>
            </w:pPr>
            <w:r>
              <w:rPr>
                <w:rFonts w:ascii="Calibri"/>
                <w:sz w:val="20"/>
              </w:rPr>
              <w:t>-123.89</w:t>
            </w:r>
          </w:p>
        </w:tc>
        <w:tc>
          <w:tcPr>
            <w:tcW w:w="811" w:type="dxa"/>
          </w:tcPr>
          <w:p>
            <w:pPr>
              <w:pStyle w:val="TableParagraph"/>
              <w:spacing w:before="3"/>
              <w:rPr>
                <w:sz w:val="19"/>
              </w:rPr>
            </w:pPr>
          </w:p>
          <w:p>
            <w:pPr>
              <w:pStyle w:val="TableParagraph"/>
              <w:ind w:left="177" w:right="173"/>
              <w:jc w:val="center"/>
              <w:rPr>
                <w:rFonts w:ascii="Calibri"/>
                <w:sz w:val="20"/>
              </w:rPr>
            </w:pPr>
            <w:r>
              <w:rPr>
                <w:rFonts w:ascii="Calibri"/>
                <w:sz w:val="20"/>
              </w:rPr>
              <w:t>1946</w:t>
            </w:r>
          </w:p>
        </w:tc>
        <w:tc>
          <w:tcPr>
            <w:tcW w:w="1440" w:type="dxa"/>
          </w:tcPr>
          <w:p>
            <w:pPr>
              <w:pStyle w:val="TableParagraph"/>
              <w:spacing w:before="3"/>
              <w:rPr>
                <w:sz w:val="19"/>
              </w:rPr>
            </w:pPr>
          </w:p>
          <w:p>
            <w:pPr>
              <w:pStyle w:val="TableParagraph"/>
              <w:ind w:left="96" w:right="96"/>
              <w:jc w:val="center"/>
              <w:rPr>
                <w:rFonts w:ascii="Calibri"/>
                <w:sz w:val="20"/>
              </w:rPr>
            </w:pPr>
            <w:r>
              <w:rPr>
                <w:rFonts w:ascii="Calibri"/>
                <w:sz w:val="20"/>
              </w:rPr>
              <w:t>Ridgetop</w:t>
            </w:r>
          </w:p>
        </w:tc>
      </w:tr>
      <w:tr>
        <w:trPr>
          <w:trHeight w:val="690" w:hRule="atLeast"/>
        </w:trPr>
        <w:tc>
          <w:tcPr>
            <w:tcW w:w="895" w:type="dxa"/>
          </w:tcPr>
          <w:p>
            <w:pPr>
              <w:pStyle w:val="TableParagraph"/>
              <w:rPr>
                <w:rFonts w:ascii="Times New Roman"/>
                <w:sz w:val="18"/>
              </w:rPr>
            </w:pP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352545</w:t>
            </w:r>
          </w:p>
        </w:tc>
        <w:tc>
          <w:tcPr>
            <w:tcW w:w="1711" w:type="dxa"/>
          </w:tcPr>
          <w:p>
            <w:pPr>
              <w:pStyle w:val="TableParagraph"/>
              <w:spacing w:before="6"/>
              <w:rPr>
                <w:sz w:val="19"/>
              </w:rPr>
            </w:pPr>
          </w:p>
          <w:p>
            <w:pPr>
              <w:pStyle w:val="TableParagraph"/>
              <w:ind w:left="121" w:right="123"/>
              <w:jc w:val="center"/>
              <w:rPr>
                <w:rFonts w:ascii="Calibri"/>
                <w:sz w:val="20"/>
              </w:rPr>
            </w:pPr>
            <w:r>
              <w:rPr>
                <w:rFonts w:ascii="Calibri"/>
                <w:sz w:val="20"/>
              </w:rPr>
              <w:t>Goodwin Peak</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3" w:right="166"/>
              <w:jc w:val="center"/>
              <w:rPr>
                <w:rFonts w:ascii="Calibri"/>
                <w:sz w:val="20"/>
              </w:rPr>
            </w:pPr>
            <w:r>
              <w:rPr>
                <w:rFonts w:ascii="Calibri"/>
                <w:sz w:val="20"/>
              </w:rPr>
              <w:t>USFS</w:t>
            </w:r>
          </w:p>
        </w:tc>
        <w:tc>
          <w:tcPr>
            <w:tcW w:w="900" w:type="dxa"/>
          </w:tcPr>
          <w:p>
            <w:pPr>
              <w:pStyle w:val="TableParagraph"/>
              <w:spacing w:before="6"/>
              <w:rPr>
                <w:sz w:val="19"/>
              </w:rPr>
            </w:pPr>
          </w:p>
          <w:p>
            <w:pPr>
              <w:pStyle w:val="TableParagraph"/>
              <w:ind w:left="113" w:right="109"/>
              <w:jc w:val="center"/>
              <w:rPr>
                <w:rFonts w:ascii="Calibri"/>
                <w:sz w:val="20"/>
              </w:rPr>
            </w:pPr>
            <w:r>
              <w:rPr>
                <w:rFonts w:ascii="Calibri"/>
                <w:sz w:val="20"/>
              </w:rPr>
              <w:t>43.93</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-123.89</w:t>
            </w:r>
          </w:p>
        </w:tc>
        <w:tc>
          <w:tcPr>
            <w:tcW w:w="811" w:type="dxa"/>
          </w:tcPr>
          <w:p>
            <w:pPr>
              <w:pStyle w:val="TableParagraph"/>
              <w:spacing w:before="6"/>
              <w:rPr>
                <w:sz w:val="19"/>
              </w:rPr>
            </w:pPr>
          </w:p>
          <w:p>
            <w:pPr>
              <w:pStyle w:val="TableParagraph"/>
              <w:ind w:left="177" w:right="173"/>
              <w:jc w:val="center"/>
              <w:rPr>
                <w:rFonts w:ascii="Calibri"/>
                <w:sz w:val="20"/>
              </w:rPr>
            </w:pPr>
            <w:r>
              <w:rPr>
                <w:rFonts w:ascii="Calibri"/>
                <w:sz w:val="20"/>
              </w:rPr>
              <w:t>1826</w:t>
            </w:r>
          </w:p>
        </w:tc>
        <w:tc>
          <w:tcPr>
            <w:tcW w:w="1440" w:type="dxa"/>
          </w:tcPr>
          <w:p>
            <w:pPr>
              <w:pStyle w:val="TableParagraph"/>
              <w:spacing w:before="6"/>
              <w:rPr>
                <w:sz w:val="19"/>
              </w:rPr>
            </w:pPr>
          </w:p>
          <w:p>
            <w:pPr>
              <w:pStyle w:val="TableParagraph"/>
              <w:ind w:left="96" w:right="96"/>
              <w:jc w:val="center"/>
              <w:rPr>
                <w:rFonts w:ascii="Calibri"/>
                <w:sz w:val="20"/>
              </w:rPr>
            </w:pPr>
            <w:r>
              <w:rPr>
                <w:rFonts w:ascii="Calibri"/>
                <w:sz w:val="20"/>
              </w:rPr>
              <w:t>Ridgetop</w:t>
            </w:r>
          </w:p>
        </w:tc>
      </w:tr>
      <w:tr>
        <w:trPr>
          <w:trHeight w:val="693" w:hRule="atLeast"/>
        </w:trPr>
        <w:tc>
          <w:tcPr>
            <w:tcW w:w="895" w:type="dxa"/>
          </w:tcPr>
          <w:p>
            <w:pPr>
              <w:pStyle w:val="TableParagraph"/>
              <w:rPr>
                <w:rFonts w:ascii="Times New Roman"/>
                <w:sz w:val="18"/>
              </w:rPr>
            </w:pP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352559</w:t>
            </w:r>
          </w:p>
        </w:tc>
        <w:tc>
          <w:tcPr>
            <w:tcW w:w="1711" w:type="dxa"/>
          </w:tcPr>
          <w:p>
            <w:pPr>
              <w:pStyle w:val="TableParagraph"/>
              <w:spacing w:before="6"/>
              <w:rPr>
                <w:sz w:val="19"/>
              </w:rPr>
            </w:pPr>
          </w:p>
          <w:p>
            <w:pPr>
              <w:pStyle w:val="TableParagraph"/>
              <w:ind w:left="121" w:right="122"/>
              <w:jc w:val="center"/>
              <w:rPr>
                <w:rFonts w:ascii="Calibri"/>
                <w:sz w:val="20"/>
              </w:rPr>
            </w:pPr>
            <w:r>
              <w:rPr>
                <w:rFonts w:ascii="Calibri"/>
                <w:sz w:val="20"/>
              </w:rPr>
              <w:t>Dunes</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3" w:right="166"/>
              <w:jc w:val="center"/>
              <w:rPr>
                <w:rFonts w:ascii="Calibri"/>
                <w:sz w:val="20"/>
              </w:rPr>
            </w:pPr>
            <w:r>
              <w:rPr>
                <w:rFonts w:ascii="Calibri"/>
                <w:sz w:val="20"/>
              </w:rPr>
              <w:t>USFS</w:t>
            </w:r>
          </w:p>
        </w:tc>
        <w:tc>
          <w:tcPr>
            <w:tcW w:w="900" w:type="dxa"/>
          </w:tcPr>
          <w:p>
            <w:pPr>
              <w:pStyle w:val="TableParagraph"/>
              <w:spacing w:before="6"/>
              <w:rPr>
                <w:sz w:val="19"/>
              </w:rPr>
            </w:pPr>
          </w:p>
          <w:p>
            <w:pPr>
              <w:pStyle w:val="TableParagraph"/>
              <w:ind w:left="113" w:right="109"/>
              <w:jc w:val="center"/>
              <w:rPr>
                <w:rFonts w:ascii="Calibri"/>
                <w:sz w:val="20"/>
              </w:rPr>
            </w:pPr>
            <w:r>
              <w:rPr>
                <w:rFonts w:ascii="Calibri"/>
                <w:sz w:val="20"/>
              </w:rPr>
              <w:t>43.96</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-124.12</w:t>
            </w:r>
          </w:p>
        </w:tc>
        <w:tc>
          <w:tcPr>
            <w:tcW w:w="811" w:type="dxa"/>
          </w:tcPr>
          <w:p>
            <w:pPr>
              <w:pStyle w:val="TableParagraph"/>
              <w:spacing w:before="6"/>
              <w:rPr>
                <w:sz w:val="19"/>
              </w:rPr>
            </w:pPr>
          </w:p>
          <w:p>
            <w:pPr>
              <w:pStyle w:val="TableParagraph"/>
              <w:ind w:left="177" w:right="173"/>
              <w:jc w:val="center"/>
              <w:rPr>
                <w:rFonts w:ascii="Calibri"/>
                <w:sz w:val="20"/>
              </w:rPr>
            </w:pPr>
            <w:r>
              <w:rPr>
                <w:rFonts w:ascii="Calibri"/>
                <w:sz w:val="20"/>
              </w:rPr>
              <w:t>20</w:t>
            </w:r>
          </w:p>
        </w:tc>
        <w:tc>
          <w:tcPr>
            <w:tcW w:w="1440" w:type="dxa"/>
          </w:tcPr>
          <w:p>
            <w:pPr>
              <w:pStyle w:val="TableParagraph"/>
              <w:spacing w:before="6"/>
              <w:rPr>
                <w:sz w:val="19"/>
              </w:rPr>
            </w:pPr>
          </w:p>
          <w:p>
            <w:pPr>
              <w:pStyle w:val="TableParagraph"/>
              <w:ind w:left="96" w:right="95"/>
              <w:jc w:val="center"/>
              <w:rPr>
                <w:rFonts w:ascii="Calibri"/>
                <w:sz w:val="20"/>
              </w:rPr>
            </w:pPr>
            <w:r>
              <w:rPr>
                <w:rFonts w:ascii="Calibri"/>
                <w:sz w:val="20"/>
              </w:rPr>
              <w:t>Midslope</w:t>
            </w:r>
          </w:p>
        </w:tc>
      </w:tr>
      <w:tr>
        <w:trPr>
          <w:trHeight w:val="686" w:hRule="atLeast"/>
        </w:trPr>
        <w:tc>
          <w:tcPr>
            <w:tcW w:w="895" w:type="dxa"/>
          </w:tcPr>
          <w:p>
            <w:pPr>
              <w:pStyle w:val="TableParagraph"/>
              <w:spacing w:before="196"/>
              <w:ind w:left="249" w:right="230"/>
              <w:jc w:val="center"/>
              <w:rPr>
                <w:rFonts w:ascii="Calibri"/>
                <w:b/>
                <w:sz w:val="24"/>
              </w:rPr>
            </w:pPr>
            <w:r>
              <w:rPr>
                <w:rFonts w:ascii="Calibri"/>
                <w:b/>
                <w:sz w:val="24"/>
              </w:rPr>
              <w:t>660</w:t>
            </w:r>
          </w:p>
        </w:tc>
        <w:tc>
          <w:tcPr>
            <w:tcW w:w="989" w:type="dxa"/>
          </w:tcPr>
          <w:p>
            <w:pPr>
              <w:pStyle w:val="TableParagraph"/>
              <w:spacing w:before="3"/>
              <w:rPr>
                <w:sz w:val="19"/>
              </w:rPr>
            </w:pPr>
          </w:p>
          <w:p>
            <w:pPr>
              <w:pStyle w:val="TableParagraph"/>
              <w:ind w:left="86" w:right="88"/>
              <w:jc w:val="center"/>
              <w:rPr>
                <w:rFonts w:ascii="Calibri"/>
                <w:sz w:val="20"/>
              </w:rPr>
            </w:pPr>
            <w:r>
              <w:rPr>
                <w:rFonts w:ascii="Calibri"/>
                <w:sz w:val="20"/>
              </w:rPr>
              <w:t>451208</w:t>
            </w:r>
          </w:p>
        </w:tc>
        <w:tc>
          <w:tcPr>
            <w:tcW w:w="1711" w:type="dxa"/>
          </w:tcPr>
          <w:p>
            <w:pPr>
              <w:pStyle w:val="TableParagraph"/>
              <w:spacing w:before="3"/>
              <w:rPr>
                <w:sz w:val="19"/>
              </w:rPr>
            </w:pPr>
          </w:p>
          <w:p>
            <w:pPr>
              <w:pStyle w:val="TableParagraph"/>
              <w:ind w:left="121" w:right="121"/>
              <w:jc w:val="center"/>
              <w:rPr>
                <w:rFonts w:ascii="Calibri"/>
                <w:sz w:val="20"/>
              </w:rPr>
            </w:pPr>
            <w:r>
              <w:rPr>
                <w:rFonts w:ascii="Calibri"/>
                <w:sz w:val="20"/>
              </w:rPr>
              <w:t>Elk Rock</w:t>
            </w:r>
          </w:p>
        </w:tc>
        <w:tc>
          <w:tcPr>
            <w:tcW w:w="629" w:type="dxa"/>
          </w:tcPr>
          <w:p>
            <w:pPr>
              <w:pStyle w:val="TableParagraph"/>
              <w:spacing w:before="3"/>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3"/>
              <w:rPr>
                <w:sz w:val="19"/>
              </w:rPr>
            </w:pPr>
          </w:p>
          <w:p>
            <w:pPr>
              <w:pStyle w:val="TableParagraph"/>
              <w:ind w:left="173" w:right="166"/>
              <w:jc w:val="center"/>
              <w:rPr>
                <w:rFonts w:ascii="Calibri"/>
                <w:sz w:val="20"/>
              </w:rPr>
            </w:pPr>
            <w:r>
              <w:rPr>
                <w:rFonts w:ascii="Calibri"/>
                <w:sz w:val="20"/>
              </w:rPr>
              <w:t>USFS</w:t>
            </w:r>
          </w:p>
        </w:tc>
        <w:tc>
          <w:tcPr>
            <w:tcW w:w="900" w:type="dxa"/>
          </w:tcPr>
          <w:p>
            <w:pPr>
              <w:pStyle w:val="TableParagraph"/>
              <w:spacing w:before="3"/>
              <w:rPr>
                <w:sz w:val="19"/>
              </w:rPr>
            </w:pPr>
          </w:p>
          <w:p>
            <w:pPr>
              <w:pStyle w:val="TableParagraph"/>
              <w:ind w:left="113" w:right="109"/>
              <w:jc w:val="center"/>
              <w:rPr>
                <w:rFonts w:ascii="Calibri"/>
                <w:sz w:val="20"/>
              </w:rPr>
            </w:pPr>
            <w:r>
              <w:rPr>
                <w:rFonts w:ascii="Calibri"/>
                <w:sz w:val="20"/>
              </w:rPr>
              <w:t>46.35</w:t>
            </w:r>
          </w:p>
        </w:tc>
        <w:tc>
          <w:tcPr>
            <w:tcW w:w="900" w:type="dxa"/>
          </w:tcPr>
          <w:p>
            <w:pPr>
              <w:pStyle w:val="TableParagraph"/>
              <w:spacing w:before="3"/>
              <w:rPr>
                <w:sz w:val="19"/>
              </w:rPr>
            </w:pPr>
          </w:p>
          <w:p>
            <w:pPr>
              <w:pStyle w:val="TableParagraph"/>
              <w:ind w:left="109" w:right="109"/>
              <w:jc w:val="center"/>
              <w:rPr>
                <w:rFonts w:ascii="Calibri"/>
                <w:sz w:val="20"/>
              </w:rPr>
            </w:pPr>
            <w:r>
              <w:rPr>
                <w:rFonts w:ascii="Calibri"/>
                <w:sz w:val="20"/>
              </w:rPr>
              <w:t>-122.6</w:t>
            </w:r>
          </w:p>
        </w:tc>
        <w:tc>
          <w:tcPr>
            <w:tcW w:w="811" w:type="dxa"/>
          </w:tcPr>
          <w:p>
            <w:pPr>
              <w:pStyle w:val="TableParagraph"/>
              <w:spacing w:before="3"/>
              <w:rPr>
                <w:sz w:val="19"/>
              </w:rPr>
            </w:pPr>
          </w:p>
          <w:p>
            <w:pPr>
              <w:pStyle w:val="TableParagraph"/>
              <w:ind w:left="177" w:right="173"/>
              <w:jc w:val="center"/>
              <w:rPr>
                <w:rFonts w:ascii="Calibri"/>
                <w:sz w:val="20"/>
              </w:rPr>
            </w:pPr>
            <w:r>
              <w:rPr>
                <w:rFonts w:ascii="Calibri"/>
                <w:sz w:val="20"/>
              </w:rPr>
              <w:t>2500</w:t>
            </w:r>
          </w:p>
        </w:tc>
        <w:tc>
          <w:tcPr>
            <w:tcW w:w="1440" w:type="dxa"/>
          </w:tcPr>
          <w:p>
            <w:pPr>
              <w:pStyle w:val="TableParagraph"/>
              <w:spacing w:before="3"/>
              <w:rPr>
                <w:sz w:val="19"/>
              </w:rPr>
            </w:pPr>
          </w:p>
          <w:p>
            <w:pPr>
              <w:pStyle w:val="TableParagraph"/>
              <w:ind w:left="96" w:right="96"/>
              <w:jc w:val="center"/>
              <w:rPr>
                <w:rFonts w:ascii="Calibri"/>
                <w:sz w:val="20"/>
              </w:rPr>
            </w:pPr>
            <w:r>
              <w:rPr>
                <w:rFonts w:ascii="Calibri"/>
                <w:sz w:val="20"/>
              </w:rPr>
              <w:t>Ridgetop</w:t>
            </w:r>
          </w:p>
        </w:tc>
      </w:tr>
      <w:tr>
        <w:trPr>
          <w:trHeight w:val="690" w:hRule="atLeast"/>
        </w:trPr>
        <w:tc>
          <w:tcPr>
            <w:tcW w:w="895" w:type="dxa"/>
          </w:tcPr>
          <w:p>
            <w:pPr>
              <w:pStyle w:val="TableParagraph"/>
              <w:rPr>
                <w:rFonts w:ascii="Times New Roman"/>
                <w:sz w:val="18"/>
              </w:rPr>
            </w:pP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451921</w:t>
            </w:r>
          </w:p>
        </w:tc>
        <w:tc>
          <w:tcPr>
            <w:tcW w:w="1711" w:type="dxa"/>
          </w:tcPr>
          <w:p>
            <w:pPr>
              <w:pStyle w:val="TableParagraph"/>
              <w:spacing w:before="6"/>
              <w:rPr>
                <w:sz w:val="19"/>
              </w:rPr>
            </w:pPr>
          </w:p>
          <w:p>
            <w:pPr>
              <w:pStyle w:val="TableParagraph"/>
              <w:ind w:left="121" w:right="122"/>
              <w:jc w:val="center"/>
              <w:rPr>
                <w:rFonts w:ascii="Calibri"/>
                <w:sz w:val="20"/>
              </w:rPr>
            </w:pPr>
            <w:r>
              <w:rPr>
                <w:rFonts w:ascii="Calibri"/>
                <w:sz w:val="20"/>
              </w:rPr>
              <w:t>Canyon Creek</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3" w:right="166"/>
              <w:jc w:val="center"/>
              <w:rPr>
                <w:rFonts w:ascii="Calibri"/>
                <w:sz w:val="20"/>
              </w:rPr>
            </w:pPr>
            <w:r>
              <w:rPr>
                <w:rFonts w:ascii="Calibri"/>
                <w:sz w:val="20"/>
              </w:rPr>
              <w:t>USFS</w:t>
            </w:r>
          </w:p>
        </w:tc>
        <w:tc>
          <w:tcPr>
            <w:tcW w:w="900" w:type="dxa"/>
          </w:tcPr>
          <w:p>
            <w:pPr>
              <w:pStyle w:val="TableParagraph"/>
              <w:spacing w:before="6"/>
              <w:rPr>
                <w:sz w:val="19"/>
              </w:rPr>
            </w:pPr>
          </w:p>
          <w:p>
            <w:pPr>
              <w:pStyle w:val="TableParagraph"/>
              <w:ind w:left="113" w:right="109"/>
              <w:jc w:val="center"/>
              <w:rPr>
                <w:rFonts w:ascii="Calibri"/>
                <w:sz w:val="20"/>
              </w:rPr>
            </w:pPr>
            <w:r>
              <w:rPr>
                <w:rFonts w:ascii="Calibri"/>
                <w:sz w:val="20"/>
              </w:rPr>
              <w:t>45.92</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-122.17</w:t>
            </w:r>
          </w:p>
        </w:tc>
        <w:tc>
          <w:tcPr>
            <w:tcW w:w="811" w:type="dxa"/>
          </w:tcPr>
          <w:p>
            <w:pPr>
              <w:pStyle w:val="TableParagraph"/>
              <w:spacing w:before="6"/>
              <w:rPr>
                <w:sz w:val="19"/>
              </w:rPr>
            </w:pPr>
          </w:p>
          <w:p>
            <w:pPr>
              <w:pStyle w:val="TableParagraph"/>
              <w:ind w:left="177" w:right="173"/>
              <w:jc w:val="center"/>
              <w:rPr>
                <w:rFonts w:ascii="Calibri"/>
                <w:sz w:val="20"/>
              </w:rPr>
            </w:pPr>
            <w:r>
              <w:rPr>
                <w:rFonts w:ascii="Calibri"/>
                <w:sz w:val="20"/>
              </w:rPr>
              <w:t>2500</w:t>
            </w:r>
          </w:p>
        </w:tc>
        <w:tc>
          <w:tcPr>
            <w:tcW w:w="1440" w:type="dxa"/>
          </w:tcPr>
          <w:p>
            <w:pPr>
              <w:pStyle w:val="TableParagraph"/>
              <w:spacing w:before="6"/>
              <w:rPr>
                <w:sz w:val="19"/>
              </w:rPr>
            </w:pPr>
          </w:p>
          <w:p>
            <w:pPr>
              <w:pStyle w:val="TableParagraph"/>
              <w:ind w:left="96" w:right="95"/>
              <w:jc w:val="center"/>
              <w:rPr>
                <w:rFonts w:ascii="Calibri"/>
                <w:sz w:val="20"/>
              </w:rPr>
            </w:pPr>
            <w:r>
              <w:rPr>
                <w:rFonts w:ascii="Calibri"/>
                <w:sz w:val="20"/>
              </w:rPr>
              <w:t>W-on ridge</w:t>
            </w:r>
          </w:p>
        </w:tc>
      </w:tr>
      <w:tr>
        <w:trPr>
          <w:trHeight w:val="693" w:hRule="atLeast"/>
        </w:trPr>
        <w:tc>
          <w:tcPr>
            <w:tcW w:w="895" w:type="dxa"/>
          </w:tcPr>
          <w:p>
            <w:pPr>
              <w:pStyle w:val="TableParagraph"/>
              <w:rPr>
                <w:rFonts w:ascii="Times New Roman"/>
                <w:sz w:val="18"/>
              </w:rPr>
            </w:pPr>
          </w:p>
        </w:tc>
        <w:tc>
          <w:tcPr>
            <w:tcW w:w="989" w:type="dxa"/>
          </w:tcPr>
          <w:p>
            <w:pPr>
              <w:pStyle w:val="TableParagraph"/>
              <w:spacing w:before="8"/>
              <w:rPr>
                <w:sz w:val="19"/>
              </w:rPr>
            </w:pPr>
          </w:p>
          <w:p>
            <w:pPr>
              <w:pStyle w:val="TableParagraph"/>
              <w:ind w:left="86" w:right="88"/>
              <w:jc w:val="center"/>
              <w:rPr>
                <w:rFonts w:ascii="Calibri"/>
                <w:sz w:val="20"/>
              </w:rPr>
            </w:pPr>
            <w:r>
              <w:rPr>
                <w:rFonts w:ascii="Calibri"/>
                <w:sz w:val="20"/>
              </w:rPr>
              <w:t>451929</w:t>
            </w:r>
          </w:p>
        </w:tc>
        <w:tc>
          <w:tcPr>
            <w:tcW w:w="1711" w:type="dxa"/>
          </w:tcPr>
          <w:p>
            <w:pPr>
              <w:pStyle w:val="TableParagraph"/>
              <w:spacing w:before="8"/>
              <w:rPr>
                <w:sz w:val="19"/>
              </w:rPr>
            </w:pPr>
          </w:p>
          <w:p>
            <w:pPr>
              <w:pStyle w:val="TableParagraph"/>
              <w:ind w:left="121" w:right="124"/>
              <w:jc w:val="center"/>
              <w:rPr>
                <w:rFonts w:ascii="Calibri"/>
                <w:sz w:val="20"/>
              </w:rPr>
            </w:pPr>
            <w:r>
              <w:rPr>
                <w:rFonts w:ascii="Calibri"/>
                <w:sz w:val="20"/>
              </w:rPr>
              <w:t>3 Corner Rock</w:t>
            </w:r>
          </w:p>
        </w:tc>
        <w:tc>
          <w:tcPr>
            <w:tcW w:w="629" w:type="dxa"/>
          </w:tcPr>
          <w:p>
            <w:pPr>
              <w:pStyle w:val="TableParagraph"/>
              <w:spacing w:before="8"/>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8"/>
              <w:rPr>
                <w:sz w:val="19"/>
              </w:rPr>
            </w:pPr>
          </w:p>
          <w:p>
            <w:pPr>
              <w:pStyle w:val="TableParagraph"/>
              <w:ind w:left="175" w:right="166"/>
              <w:jc w:val="center"/>
              <w:rPr>
                <w:rFonts w:ascii="Calibri"/>
                <w:sz w:val="20"/>
              </w:rPr>
            </w:pPr>
            <w:r>
              <w:rPr>
                <w:rFonts w:ascii="Calibri"/>
                <w:sz w:val="20"/>
              </w:rPr>
              <w:t>DNR</w:t>
            </w:r>
          </w:p>
        </w:tc>
        <w:tc>
          <w:tcPr>
            <w:tcW w:w="900" w:type="dxa"/>
          </w:tcPr>
          <w:p>
            <w:pPr>
              <w:pStyle w:val="TableParagraph"/>
              <w:spacing w:before="8"/>
              <w:rPr>
                <w:sz w:val="19"/>
              </w:rPr>
            </w:pPr>
          </w:p>
          <w:p>
            <w:pPr>
              <w:pStyle w:val="TableParagraph"/>
              <w:ind w:left="113" w:right="109"/>
              <w:jc w:val="center"/>
              <w:rPr>
                <w:rFonts w:ascii="Calibri"/>
                <w:sz w:val="20"/>
              </w:rPr>
            </w:pPr>
            <w:r>
              <w:rPr>
                <w:rFonts w:ascii="Calibri"/>
                <w:sz w:val="20"/>
              </w:rPr>
              <w:t>45.72</w:t>
            </w:r>
          </w:p>
        </w:tc>
        <w:tc>
          <w:tcPr>
            <w:tcW w:w="900" w:type="dxa"/>
          </w:tcPr>
          <w:p>
            <w:pPr>
              <w:pStyle w:val="TableParagraph"/>
              <w:spacing w:before="8"/>
              <w:rPr>
                <w:sz w:val="19"/>
              </w:rPr>
            </w:pPr>
          </w:p>
          <w:p>
            <w:pPr>
              <w:pStyle w:val="TableParagraph"/>
              <w:ind w:left="109" w:right="109"/>
              <w:jc w:val="center"/>
              <w:rPr>
                <w:rFonts w:ascii="Calibri"/>
                <w:sz w:val="20"/>
              </w:rPr>
            </w:pPr>
            <w:r>
              <w:rPr>
                <w:rFonts w:ascii="Calibri"/>
                <w:sz w:val="20"/>
              </w:rPr>
              <w:t>-122.04</w:t>
            </w:r>
          </w:p>
        </w:tc>
        <w:tc>
          <w:tcPr>
            <w:tcW w:w="811" w:type="dxa"/>
          </w:tcPr>
          <w:p>
            <w:pPr>
              <w:pStyle w:val="TableParagraph"/>
              <w:spacing w:before="8"/>
              <w:rPr>
                <w:sz w:val="19"/>
              </w:rPr>
            </w:pPr>
          </w:p>
          <w:p>
            <w:pPr>
              <w:pStyle w:val="TableParagraph"/>
              <w:ind w:left="177" w:right="173"/>
              <w:jc w:val="center"/>
              <w:rPr>
                <w:rFonts w:ascii="Calibri"/>
                <w:sz w:val="20"/>
              </w:rPr>
            </w:pPr>
            <w:r>
              <w:rPr>
                <w:rFonts w:ascii="Calibri"/>
                <w:sz w:val="20"/>
              </w:rPr>
              <w:t>3000</w:t>
            </w:r>
          </w:p>
        </w:tc>
        <w:tc>
          <w:tcPr>
            <w:tcW w:w="1440" w:type="dxa"/>
          </w:tcPr>
          <w:p>
            <w:pPr>
              <w:pStyle w:val="TableParagraph"/>
              <w:spacing w:before="8"/>
              <w:rPr>
                <w:sz w:val="19"/>
              </w:rPr>
            </w:pPr>
          </w:p>
          <w:p>
            <w:pPr>
              <w:pStyle w:val="TableParagraph"/>
              <w:ind w:left="96" w:right="95"/>
              <w:jc w:val="center"/>
              <w:rPr>
                <w:rFonts w:ascii="Calibri"/>
                <w:sz w:val="20"/>
              </w:rPr>
            </w:pPr>
            <w:r>
              <w:rPr>
                <w:rFonts w:ascii="Calibri"/>
                <w:sz w:val="20"/>
              </w:rPr>
              <w:t>Ridge</w:t>
            </w:r>
          </w:p>
        </w:tc>
      </w:tr>
      <w:tr>
        <w:trPr>
          <w:trHeight w:val="686" w:hRule="atLeast"/>
        </w:trPr>
        <w:tc>
          <w:tcPr>
            <w:tcW w:w="895" w:type="dxa"/>
          </w:tcPr>
          <w:p>
            <w:pPr>
              <w:pStyle w:val="TableParagraph"/>
              <w:rPr>
                <w:rFonts w:ascii="Times New Roman"/>
                <w:sz w:val="18"/>
              </w:rPr>
            </w:pPr>
          </w:p>
        </w:tc>
        <w:tc>
          <w:tcPr>
            <w:tcW w:w="989" w:type="dxa"/>
          </w:tcPr>
          <w:p>
            <w:pPr>
              <w:pStyle w:val="TableParagraph"/>
              <w:spacing w:before="3"/>
              <w:rPr>
                <w:sz w:val="19"/>
              </w:rPr>
            </w:pPr>
          </w:p>
          <w:p>
            <w:pPr>
              <w:pStyle w:val="TableParagraph"/>
              <w:ind w:left="86" w:right="88"/>
              <w:jc w:val="center"/>
              <w:rPr>
                <w:rFonts w:ascii="Calibri"/>
                <w:sz w:val="20"/>
              </w:rPr>
            </w:pPr>
            <w:r>
              <w:rPr>
                <w:rFonts w:ascii="Calibri"/>
                <w:sz w:val="20"/>
              </w:rPr>
              <w:t>451924</w:t>
            </w:r>
          </w:p>
        </w:tc>
        <w:tc>
          <w:tcPr>
            <w:tcW w:w="1711" w:type="dxa"/>
          </w:tcPr>
          <w:p>
            <w:pPr>
              <w:pStyle w:val="TableParagraph"/>
              <w:spacing w:before="3"/>
              <w:rPr>
                <w:sz w:val="19"/>
              </w:rPr>
            </w:pPr>
          </w:p>
          <w:p>
            <w:pPr>
              <w:pStyle w:val="TableParagraph"/>
              <w:ind w:left="121" w:right="122"/>
              <w:jc w:val="center"/>
              <w:rPr>
                <w:rFonts w:ascii="Calibri"/>
                <w:sz w:val="20"/>
              </w:rPr>
            </w:pPr>
            <w:r>
              <w:rPr>
                <w:rFonts w:ascii="Calibri"/>
                <w:sz w:val="20"/>
              </w:rPr>
              <w:t>Dry Creek</w:t>
            </w:r>
          </w:p>
        </w:tc>
        <w:tc>
          <w:tcPr>
            <w:tcW w:w="629" w:type="dxa"/>
          </w:tcPr>
          <w:p>
            <w:pPr>
              <w:pStyle w:val="TableParagraph"/>
              <w:spacing w:before="3"/>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3"/>
              <w:rPr>
                <w:sz w:val="19"/>
              </w:rPr>
            </w:pPr>
          </w:p>
          <w:p>
            <w:pPr>
              <w:pStyle w:val="TableParagraph"/>
              <w:ind w:left="173" w:right="166"/>
              <w:jc w:val="center"/>
              <w:rPr>
                <w:rFonts w:ascii="Calibri"/>
                <w:sz w:val="20"/>
              </w:rPr>
            </w:pPr>
            <w:r>
              <w:rPr>
                <w:rFonts w:ascii="Calibri"/>
                <w:sz w:val="20"/>
              </w:rPr>
              <w:t>USFS</w:t>
            </w:r>
          </w:p>
        </w:tc>
        <w:tc>
          <w:tcPr>
            <w:tcW w:w="900" w:type="dxa"/>
          </w:tcPr>
          <w:p>
            <w:pPr>
              <w:pStyle w:val="TableParagraph"/>
              <w:spacing w:before="3"/>
              <w:rPr>
                <w:sz w:val="19"/>
              </w:rPr>
            </w:pPr>
          </w:p>
          <w:p>
            <w:pPr>
              <w:pStyle w:val="TableParagraph"/>
              <w:ind w:left="113" w:right="109"/>
              <w:jc w:val="center"/>
              <w:rPr>
                <w:rFonts w:ascii="Calibri"/>
                <w:sz w:val="20"/>
              </w:rPr>
            </w:pPr>
            <w:r>
              <w:rPr>
                <w:rFonts w:ascii="Calibri"/>
                <w:sz w:val="20"/>
              </w:rPr>
              <w:t>45.94</w:t>
            </w:r>
          </w:p>
        </w:tc>
        <w:tc>
          <w:tcPr>
            <w:tcW w:w="900" w:type="dxa"/>
          </w:tcPr>
          <w:p>
            <w:pPr>
              <w:pStyle w:val="TableParagraph"/>
              <w:spacing w:before="3"/>
              <w:rPr>
                <w:sz w:val="19"/>
              </w:rPr>
            </w:pPr>
          </w:p>
          <w:p>
            <w:pPr>
              <w:pStyle w:val="TableParagraph"/>
              <w:ind w:left="109" w:right="109"/>
              <w:jc w:val="center"/>
              <w:rPr>
                <w:rFonts w:ascii="Calibri"/>
                <w:sz w:val="20"/>
              </w:rPr>
            </w:pPr>
            <w:r>
              <w:rPr>
                <w:rFonts w:ascii="Calibri"/>
                <w:sz w:val="20"/>
              </w:rPr>
              <w:t>-121.99</w:t>
            </w:r>
          </w:p>
        </w:tc>
        <w:tc>
          <w:tcPr>
            <w:tcW w:w="811" w:type="dxa"/>
          </w:tcPr>
          <w:p>
            <w:pPr>
              <w:pStyle w:val="TableParagraph"/>
              <w:spacing w:before="3"/>
              <w:rPr>
                <w:sz w:val="19"/>
              </w:rPr>
            </w:pPr>
          </w:p>
          <w:p>
            <w:pPr>
              <w:pStyle w:val="TableParagraph"/>
              <w:ind w:left="177" w:right="173"/>
              <w:jc w:val="center"/>
              <w:rPr>
                <w:rFonts w:ascii="Calibri"/>
                <w:sz w:val="20"/>
              </w:rPr>
            </w:pPr>
            <w:r>
              <w:rPr>
                <w:rFonts w:ascii="Calibri"/>
                <w:sz w:val="20"/>
              </w:rPr>
              <w:t>2549</w:t>
            </w:r>
          </w:p>
        </w:tc>
        <w:tc>
          <w:tcPr>
            <w:tcW w:w="1440" w:type="dxa"/>
          </w:tcPr>
          <w:p>
            <w:pPr>
              <w:pStyle w:val="TableParagraph"/>
              <w:spacing w:before="3"/>
              <w:rPr>
                <w:sz w:val="19"/>
              </w:rPr>
            </w:pPr>
          </w:p>
          <w:p>
            <w:pPr>
              <w:pStyle w:val="TableParagraph"/>
              <w:ind w:left="96" w:right="93"/>
              <w:jc w:val="center"/>
              <w:rPr>
                <w:rFonts w:ascii="Calibri"/>
                <w:sz w:val="20"/>
              </w:rPr>
            </w:pPr>
            <w:r>
              <w:rPr>
                <w:rFonts w:ascii="Calibri"/>
                <w:sz w:val="20"/>
              </w:rPr>
              <w:t>SE-on ridge</w:t>
            </w:r>
          </w:p>
        </w:tc>
      </w:tr>
      <w:tr>
        <w:trPr>
          <w:trHeight w:val="693" w:hRule="atLeast"/>
        </w:trPr>
        <w:tc>
          <w:tcPr>
            <w:tcW w:w="895" w:type="dxa"/>
          </w:tcPr>
          <w:p>
            <w:pPr>
              <w:pStyle w:val="TableParagraph"/>
              <w:rPr>
                <w:rFonts w:ascii="Times New Roman"/>
                <w:sz w:val="18"/>
              </w:rPr>
            </w:pPr>
          </w:p>
        </w:tc>
        <w:tc>
          <w:tcPr>
            <w:tcW w:w="989" w:type="dxa"/>
          </w:tcPr>
          <w:p>
            <w:pPr>
              <w:pStyle w:val="TableParagraph"/>
              <w:spacing w:before="6"/>
              <w:rPr>
                <w:sz w:val="19"/>
              </w:rPr>
            </w:pPr>
          </w:p>
          <w:p>
            <w:pPr>
              <w:pStyle w:val="TableParagraph"/>
              <w:ind w:left="86" w:right="88"/>
              <w:jc w:val="center"/>
              <w:rPr>
                <w:rFonts w:ascii="Calibri"/>
                <w:sz w:val="20"/>
              </w:rPr>
            </w:pPr>
            <w:r>
              <w:rPr>
                <w:rFonts w:ascii="Calibri"/>
                <w:sz w:val="20"/>
              </w:rPr>
              <w:t>451301</w:t>
            </w:r>
          </w:p>
        </w:tc>
        <w:tc>
          <w:tcPr>
            <w:tcW w:w="1711" w:type="dxa"/>
          </w:tcPr>
          <w:p>
            <w:pPr>
              <w:pStyle w:val="TableParagraph"/>
              <w:spacing w:before="6"/>
              <w:rPr>
                <w:sz w:val="19"/>
              </w:rPr>
            </w:pPr>
          </w:p>
          <w:p>
            <w:pPr>
              <w:pStyle w:val="TableParagraph"/>
              <w:ind w:left="121" w:right="119"/>
              <w:jc w:val="center"/>
              <w:rPr>
                <w:rFonts w:ascii="Calibri"/>
                <w:sz w:val="20"/>
              </w:rPr>
            </w:pPr>
            <w:r>
              <w:rPr>
                <w:rFonts w:ascii="Calibri"/>
                <w:sz w:val="20"/>
              </w:rPr>
              <w:t>Larch Mtn.</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175" w:right="166"/>
              <w:jc w:val="center"/>
              <w:rPr>
                <w:rFonts w:ascii="Calibri"/>
                <w:sz w:val="20"/>
              </w:rPr>
            </w:pPr>
            <w:r>
              <w:rPr>
                <w:rFonts w:ascii="Calibri"/>
                <w:sz w:val="20"/>
              </w:rPr>
              <w:t>DNR</w:t>
            </w:r>
          </w:p>
        </w:tc>
        <w:tc>
          <w:tcPr>
            <w:tcW w:w="900" w:type="dxa"/>
          </w:tcPr>
          <w:p>
            <w:pPr>
              <w:pStyle w:val="TableParagraph"/>
              <w:spacing w:before="6"/>
              <w:rPr>
                <w:sz w:val="19"/>
              </w:rPr>
            </w:pPr>
          </w:p>
          <w:p>
            <w:pPr>
              <w:pStyle w:val="TableParagraph"/>
              <w:ind w:left="113" w:right="109"/>
              <w:jc w:val="center"/>
              <w:rPr>
                <w:rFonts w:ascii="Calibri"/>
                <w:sz w:val="20"/>
              </w:rPr>
            </w:pPr>
            <w:r>
              <w:rPr>
                <w:rFonts w:ascii="Calibri"/>
                <w:sz w:val="20"/>
              </w:rPr>
              <w:t>45.72</w:t>
            </w:r>
          </w:p>
        </w:tc>
        <w:tc>
          <w:tcPr>
            <w:tcW w:w="900" w:type="dxa"/>
          </w:tcPr>
          <w:p>
            <w:pPr>
              <w:pStyle w:val="TableParagraph"/>
              <w:spacing w:before="6"/>
              <w:rPr>
                <w:sz w:val="19"/>
              </w:rPr>
            </w:pPr>
          </w:p>
          <w:p>
            <w:pPr>
              <w:pStyle w:val="TableParagraph"/>
              <w:ind w:left="109" w:right="109"/>
              <w:jc w:val="center"/>
              <w:rPr>
                <w:rFonts w:ascii="Calibri"/>
                <w:sz w:val="20"/>
              </w:rPr>
            </w:pPr>
            <w:r>
              <w:rPr>
                <w:rFonts w:ascii="Calibri"/>
                <w:sz w:val="20"/>
              </w:rPr>
              <w:t>-122.35</w:t>
            </w:r>
          </w:p>
        </w:tc>
        <w:tc>
          <w:tcPr>
            <w:tcW w:w="811" w:type="dxa"/>
          </w:tcPr>
          <w:p>
            <w:pPr>
              <w:pStyle w:val="TableParagraph"/>
              <w:spacing w:before="6"/>
              <w:rPr>
                <w:sz w:val="19"/>
              </w:rPr>
            </w:pPr>
          </w:p>
          <w:p>
            <w:pPr>
              <w:pStyle w:val="TableParagraph"/>
              <w:ind w:left="177" w:right="173"/>
              <w:jc w:val="center"/>
              <w:rPr>
                <w:rFonts w:ascii="Calibri"/>
                <w:sz w:val="20"/>
              </w:rPr>
            </w:pPr>
            <w:r>
              <w:rPr>
                <w:rFonts w:ascii="Calibri"/>
                <w:sz w:val="20"/>
              </w:rPr>
              <w:t>1150</w:t>
            </w:r>
          </w:p>
        </w:tc>
        <w:tc>
          <w:tcPr>
            <w:tcW w:w="1440" w:type="dxa"/>
          </w:tcPr>
          <w:p>
            <w:pPr>
              <w:pStyle w:val="TableParagraph"/>
              <w:spacing w:before="6"/>
              <w:rPr>
                <w:sz w:val="19"/>
              </w:rPr>
            </w:pPr>
          </w:p>
          <w:p>
            <w:pPr>
              <w:pStyle w:val="TableParagraph"/>
              <w:ind w:left="96" w:right="95"/>
              <w:jc w:val="center"/>
              <w:rPr>
                <w:rFonts w:ascii="Calibri"/>
                <w:sz w:val="20"/>
              </w:rPr>
            </w:pPr>
            <w:r>
              <w:rPr>
                <w:rFonts w:ascii="Calibri"/>
                <w:sz w:val="20"/>
              </w:rPr>
              <w:t>Ridge-top</w:t>
            </w:r>
          </w:p>
        </w:tc>
      </w:tr>
    </w:tbl>
    <w:p>
      <w:pPr>
        <w:spacing w:after="0"/>
        <w:jc w:val="center"/>
        <w:rPr>
          <w:rFonts w:ascii="Calibri"/>
          <w:sz w:val="20"/>
        </w:rPr>
        <w:sectPr>
          <w:pgSz w:w="12240" w:h="15840"/>
          <w:pgMar w:header="0" w:footer="968" w:top="1440" w:bottom="1160" w:left="340" w:right="620"/>
        </w:sectPr>
      </w:pPr>
    </w:p>
    <w:tbl>
      <w:tblPr>
        <w:tblW w:w="0" w:type="auto"/>
        <w:jc w:val="left"/>
        <w:tblInd w:w="1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989"/>
        <w:gridCol w:w="1711"/>
        <w:gridCol w:w="629"/>
        <w:gridCol w:w="1080"/>
        <w:gridCol w:w="900"/>
        <w:gridCol w:w="900"/>
        <w:gridCol w:w="811"/>
        <w:gridCol w:w="1440"/>
      </w:tblGrid>
      <w:tr>
        <w:trPr>
          <w:trHeight w:val="690" w:hRule="atLeast"/>
        </w:trPr>
        <w:tc>
          <w:tcPr>
            <w:tcW w:w="895" w:type="dxa"/>
          </w:tcPr>
          <w:p>
            <w:pPr>
              <w:pStyle w:val="TableParagraph"/>
              <w:spacing w:before="196"/>
              <w:ind w:left="263"/>
              <w:rPr>
                <w:rFonts w:ascii="Calibri"/>
                <w:b/>
                <w:sz w:val="24"/>
              </w:rPr>
            </w:pPr>
            <w:r>
              <w:rPr>
                <w:rFonts w:ascii="Calibri"/>
                <w:b/>
                <w:sz w:val="24"/>
              </w:rPr>
              <w:t>663</w:t>
            </w:r>
          </w:p>
        </w:tc>
        <w:tc>
          <w:tcPr>
            <w:tcW w:w="989" w:type="dxa"/>
          </w:tcPr>
          <w:p>
            <w:pPr>
              <w:pStyle w:val="TableParagraph"/>
              <w:spacing w:before="6"/>
              <w:rPr>
                <w:sz w:val="19"/>
              </w:rPr>
            </w:pPr>
          </w:p>
          <w:p>
            <w:pPr>
              <w:pStyle w:val="TableParagraph"/>
              <w:ind w:left="184"/>
              <w:rPr>
                <w:rFonts w:ascii="Calibri"/>
                <w:sz w:val="20"/>
              </w:rPr>
            </w:pPr>
            <w:r>
              <w:rPr>
                <w:rFonts w:ascii="Calibri"/>
                <w:sz w:val="20"/>
              </w:rPr>
              <w:t>451917</w:t>
            </w:r>
          </w:p>
        </w:tc>
        <w:tc>
          <w:tcPr>
            <w:tcW w:w="1711" w:type="dxa"/>
          </w:tcPr>
          <w:p>
            <w:pPr>
              <w:pStyle w:val="TableParagraph"/>
              <w:spacing w:before="6"/>
              <w:rPr>
                <w:sz w:val="19"/>
              </w:rPr>
            </w:pPr>
          </w:p>
          <w:p>
            <w:pPr>
              <w:pStyle w:val="TableParagraph"/>
              <w:ind w:left="400"/>
              <w:rPr>
                <w:rFonts w:ascii="Calibri"/>
                <w:sz w:val="20"/>
              </w:rPr>
            </w:pPr>
            <w:r>
              <w:rPr>
                <w:rFonts w:ascii="Calibri"/>
                <w:sz w:val="20"/>
              </w:rPr>
              <w:t>Buck Creek</w:t>
            </w:r>
          </w:p>
        </w:tc>
        <w:tc>
          <w:tcPr>
            <w:tcW w:w="629" w:type="dxa"/>
          </w:tcPr>
          <w:p>
            <w:pPr>
              <w:pStyle w:val="TableParagraph"/>
              <w:spacing w:before="6"/>
              <w:rPr>
                <w:sz w:val="19"/>
              </w:rPr>
            </w:pPr>
          </w:p>
          <w:p>
            <w:pPr>
              <w:pStyle w:val="TableParagraph"/>
              <w:ind w:left="1"/>
              <w:jc w:val="center"/>
              <w:rPr>
                <w:rFonts w:ascii="Calibri"/>
                <w:sz w:val="20"/>
              </w:rPr>
            </w:pPr>
            <w:r>
              <w:rPr>
                <w:rFonts w:ascii="Calibri"/>
                <w:w w:val="98"/>
                <w:sz w:val="20"/>
              </w:rPr>
              <w:t>R</w:t>
            </w:r>
          </w:p>
        </w:tc>
        <w:tc>
          <w:tcPr>
            <w:tcW w:w="1080" w:type="dxa"/>
          </w:tcPr>
          <w:p>
            <w:pPr>
              <w:pStyle w:val="TableParagraph"/>
              <w:spacing w:before="6"/>
              <w:rPr>
                <w:sz w:val="19"/>
              </w:rPr>
            </w:pPr>
          </w:p>
          <w:p>
            <w:pPr>
              <w:pStyle w:val="TableParagraph"/>
              <w:ind w:left="338"/>
              <w:rPr>
                <w:rFonts w:ascii="Calibri"/>
                <w:sz w:val="20"/>
              </w:rPr>
            </w:pPr>
            <w:r>
              <w:rPr>
                <w:rFonts w:ascii="Calibri"/>
                <w:sz w:val="20"/>
              </w:rPr>
              <w:t>USFS</w:t>
            </w:r>
          </w:p>
        </w:tc>
        <w:tc>
          <w:tcPr>
            <w:tcW w:w="900" w:type="dxa"/>
          </w:tcPr>
          <w:p>
            <w:pPr>
              <w:pStyle w:val="TableParagraph"/>
              <w:spacing w:before="6"/>
              <w:rPr>
                <w:sz w:val="19"/>
              </w:rPr>
            </w:pPr>
          </w:p>
          <w:p>
            <w:pPr>
              <w:pStyle w:val="TableParagraph"/>
              <w:ind w:left="220"/>
              <w:rPr>
                <w:rFonts w:ascii="Calibri"/>
                <w:sz w:val="20"/>
              </w:rPr>
            </w:pPr>
            <w:r>
              <w:rPr>
                <w:rFonts w:ascii="Calibri"/>
                <w:sz w:val="20"/>
              </w:rPr>
              <w:t>46.06</w:t>
            </w:r>
          </w:p>
        </w:tc>
        <w:tc>
          <w:tcPr>
            <w:tcW w:w="900" w:type="dxa"/>
          </w:tcPr>
          <w:p>
            <w:pPr>
              <w:pStyle w:val="TableParagraph"/>
              <w:spacing w:before="6"/>
              <w:rPr>
                <w:sz w:val="19"/>
              </w:rPr>
            </w:pPr>
          </w:p>
          <w:p>
            <w:pPr>
              <w:pStyle w:val="TableParagraph"/>
              <w:ind w:left="170"/>
              <w:rPr>
                <w:rFonts w:ascii="Calibri"/>
                <w:sz w:val="20"/>
              </w:rPr>
            </w:pPr>
            <w:r>
              <w:rPr>
                <w:rFonts w:ascii="Calibri"/>
                <w:sz w:val="20"/>
              </w:rPr>
              <w:t>121.54</w:t>
            </w:r>
          </w:p>
        </w:tc>
        <w:tc>
          <w:tcPr>
            <w:tcW w:w="811" w:type="dxa"/>
          </w:tcPr>
          <w:p>
            <w:pPr>
              <w:pStyle w:val="TableParagraph"/>
              <w:spacing w:before="6"/>
              <w:rPr>
                <w:sz w:val="19"/>
              </w:rPr>
            </w:pPr>
          </w:p>
          <w:p>
            <w:pPr>
              <w:pStyle w:val="TableParagraph"/>
              <w:ind w:left="201"/>
              <w:rPr>
                <w:rFonts w:ascii="Calibri"/>
                <w:sz w:val="20"/>
              </w:rPr>
            </w:pPr>
            <w:r>
              <w:rPr>
                <w:rFonts w:ascii="Calibri"/>
                <w:sz w:val="20"/>
              </w:rPr>
              <w:t>2690</w:t>
            </w:r>
          </w:p>
        </w:tc>
        <w:tc>
          <w:tcPr>
            <w:tcW w:w="1440" w:type="dxa"/>
          </w:tcPr>
          <w:p>
            <w:pPr>
              <w:pStyle w:val="TableParagraph"/>
              <w:spacing w:before="6"/>
              <w:rPr>
                <w:sz w:val="19"/>
              </w:rPr>
            </w:pPr>
          </w:p>
          <w:p>
            <w:pPr>
              <w:pStyle w:val="TableParagraph"/>
              <w:ind w:left="357"/>
              <w:rPr>
                <w:rFonts w:ascii="Calibri"/>
                <w:sz w:val="20"/>
              </w:rPr>
            </w:pPr>
            <w:r>
              <w:rPr>
                <w:rFonts w:ascii="Calibri"/>
                <w:sz w:val="20"/>
              </w:rPr>
              <w:t>Meadow</w:t>
            </w:r>
          </w:p>
        </w:tc>
      </w:tr>
    </w:tbl>
    <w:p>
      <w:pPr>
        <w:spacing w:after="0"/>
        <w:rPr>
          <w:rFonts w:ascii="Calibri"/>
          <w:sz w:val="20"/>
        </w:rPr>
        <w:sectPr>
          <w:pgSz w:w="12240" w:h="15840"/>
          <w:pgMar w:header="0" w:footer="968" w:top="1440" w:bottom="1160" w:left="340" w:right="620"/>
        </w:sectPr>
      </w:pPr>
    </w:p>
    <w:p>
      <w:pPr>
        <w:pStyle w:val="Heading3"/>
        <w:ind w:left="3560" w:right="907"/>
        <w:rPr>
          <w:u w:val="none"/>
        </w:rPr>
      </w:pPr>
      <w:r>
        <w:rPr/>
        <w:drawing>
          <wp:anchor distT="0" distB="0" distL="0" distR="0" allowOverlap="1" layoutInCell="1" locked="0" behindDoc="0" simplePos="0" relativeHeight="1384">
            <wp:simplePos x="0" y="0"/>
            <wp:positionH relativeFrom="page">
              <wp:posOffset>830578</wp:posOffset>
            </wp:positionH>
            <wp:positionV relativeFrom="paragraph">
              <wp:posOffset>37486</wp:posOffset>
            </wp:positionV>
            <wp:extent cx="1218564" cy="1218564"/>
            <wp:effectExtent l="0" t="0" r="0" b="0"/>
            <wp:wrapNone/>
            <wp:docPr id="33" name="image3.png" descr=""/>
            <wp:cNvGraphicFramePr>
              <a:graphicFrameLocks noChangeAspect="1"/>
            </wp:cNvGraphicFramePr>
            <a:graphic>
              <a:graphicData uri="http://schemas.openxmlformats.org/drawingml/2006/picture">
                <pic:pic>
                  <pic:nvPicPr>
                    <pic:cNvPr id="34" name="image3.png"/>
                    <pic:cNvPicPr/>
                  </pic:nvPicPr>
                  <pic:blipFill>
                    <a:blip r:embed="rId7" cstate="print"/>
                    <a:stretch>
                      <a:fillRect/>
                    </a:stretch>
                  </pic:blipFill>
                  <pic:spPr>
                    <a:xfrm>
                      <a:off x="0" y="0"/>
                      <a:ext cx="1218564" cy="1218564"/>
                    </a:xfrm>
                    <a:prstGeom prst="rect">
                      <a:avLst/>
                    </a:prstGeom>
                  </pic:spPr>
                </pic:pic>
              </a:graphicData>
            </a:graphic>
          </wp:anchor>
        </w:drawing>
      </w:r>
      <w:bookmarkStart w:name="NATIONAL WEATHER SERVICE SEATTLE" w:id="98"/>
      <w:bookmarkEnd w:id="98"/>
      <w:r>
        <w:rPr>
          <w:b w:val="0"/>
          <w:u w:val="none"/>
        </w:rPr>
      </w:r>
      <w:bookmarkStart w:name="_bookmark13" w:id="99"/>
      <w:bookmarkEnd w:id="99"/>
      <w:r>
        <w:rPr>
          <w:b w:val="0"/>
          <w:u w:val="none"/>
        </w:rPr>
      </w:r>
      <w:r>
        <w:rPr>
          <w:u w:val="thick"/>
        </w:rPr>
        <w:t>NATIONAL WEATHER</w:t>
      </w:r>
      <w:r>
        <w:rPr>
          <w:u w:val="none"/>
        </w:rPr>
        <w:t> </w:t>
      </w:r>
      <w:r>
        <w:rPr>
          <w:u w:val="thick"/>
        </w:rPr>
        <w:t>SERVICE SEATTLE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6"/>
        </w:rPr>
      </w:pPr>
    </w:p>
    <w:p>
      <w:pPr>
        <w:pStyle w:val="Heading6"/>
        <w:spacing w:before="91"/>
        <w:ind w:left="1380"/>
      </w:pPr>
      <w:r>
        <w:rPr/>
        <w:t>Changes for 2018:</w:t>
      </w:r>
    </w:p>
    <w:p>
      <w:pPr>
        <w:pStyle w:val="BodyText"/>
        <w:spacing w:before="11"/>
        <w:rPr>
          <w:b/>
          <w:sz w:val="23"/>
        </w:rPr>
      </w:pPr>
    </w:p>
    <w:p>
      <w:pPr>
        <w:pStyle w:val="ListParagraph"/>
        <w:numPr>
          <w:ilvl w:val="1"/>
          <w:numId w:val="14"/>
        </w:numPr>
        <w:tabs>
          <w:tab w:pos="2100" w:val="left" w:leader="none"/>
          <w:tab w:pos="2101" w:val="left" w:leader="none"/>
        </w:tabs>
        <w:spacing w:line="240" w:lineRule="auto" w:before="0" w:after="0"/>
        <w:ind w:left="2100" w:right="1123" w:hanging="559"/>
        <w:jc w:val="left"/>
        <w:rPr>
          <w:sz w:val="24"/>
        </w:rPr>
      </w:pPr>
      <w:r>
        <w:rPr>
          <w:sz w:val="24"/>
        </w:rPr>
        <w:t>The Fire Weather Planning Forecast will no longer include combinations of zones. Fire Weather Zones will be listed separately within the Planning Forecast. The goal is for this to reduce averaging of weather over very</w:t>
      </w:r>
      <w:r>
        <w:rPr>
          <w:spacing w:val="-40"/>
          <w:sz w:val="24"/>
        </w:rPr>
        <w:t> </w:t>
      </w:r>
      <w:r>
        <w:rPr>
          <w:sz w:val="24"/>
        </w:rPr>
        <w:t>large areas, thereby making the forecast more representative of each Fire Weather Zone. This should make the forecast a more effective tool for planning and for firefighter</w:t>
      </w:r>
      <w:r>
        <w:rPr>
          <w:spacing w:val="-7"/>
          <w:sz w:val="24"/>
        </w:rPr>
        <w:t> </w:t>
      </w:r>
      <w:r>
        <w:rPr>
          <w:sz w:val="24"/>
        </w:rPr>
        <w:t>safety.</w:t>
      </w:r>
    </w:p>
    <w:p>
      <w:pPr>
        <w:pStyle w:val="BodyText"/>
        <w:spacing w:before="8"/>
        <w:rPr>
          <w:sz w:val="23"/>
        </w:rPr>
      </w:pPr>
    </w:p>
    <w:p>
      <w:pPr>
        <w:pStyle w:val="ListParagraph"/>
        <w:numPr>
          <w:ilvl w:val="1"/>
          <w:numId w:val="14"/>
        </w:numPr>
        <w:tabs>
          <w:tab w:pos="2100" w:val="left" w:leader="none"/>
          <w:tab w:pos="2101" w:val="left" w:leader="none"/>
        </w:tabs>
        <w:spacing w:line="237" w:lineRule="auto" w:before="0" w:after="0"/>
        <w:ind w:left="2100" w:right="1410" w:hanging="559"/>
        <w:jc w:val="left"/>
        <w:rPr>
          <w:sz w:val="24"/>
        </w:rPr>
      </w:pPr>
      <w:r>
        <w:rPr>
          <w:sz w:val="24"/>
        </w:rPr>
        <w:t>Due to the low number of Views and the staff time needed for production, the 4-year trial of Fire Weather YouTube briefings is ending. A recorded version of the 9 AM phone briefing will be available</w:t>
      </w:r>
      <w:r>
        <w:rPr>
          <w:spacing w:val="-8"/>
          <w:sz w:val="24"/>
        </w:rPr>
        <w:t> </w:t>
      </w:r>
      <w:r>
        <w:rPr>
          <w:sz w:val="24"/>
        </w:rPr>
        <w:t>instead.</w:t>
      </w:r>
    </w:p>
    <w:p>
      <w:pPr>
        <w:pStyle w:val="BodyText"/>
        <w:spacing w:before="5"/>
      </w:pPr>
    </w:p>
    <w:p>
      <w:pPr>
        <w:pStyle w:val="ListParagraph"/>
        <w:numPr>
          <w:ilvl w:val="1"/>
          <w:numId w:val="14"/>
        </w:numPr>
        <w:tabs>
          <w:tab w:pos="2100" w:val="left" w:leader="none"/>
          <w:tab w:pos="2101" w:val="left" w:leader="none"/>
        </w:tabs>
        <w:spacing w:line="235" w:lineRule="auto" w:before="0" w:after="0"/>
        <w:ind w:left="2100" w:right="1479" w:hanging="559"/>
        <w:jc w:val="left"/>
        <w:rPr>
          <w:sz w:val="24"/>
        </w:rPr>
      </w:pPr>
      <w:r>
        <w:rPr>
          <w:sz w:val="24"/>
        </w:rPr>
        <w:t>Dedicated staffing and in-season levels of Fire Weather-related Decision Support will expand to include weekends starting in</w:t>
      </w:r>
      <w:r>
        <w:rPr>
          <w:spacing w:val="-8"/>
          <w:sz w:val="24"/>
        </w:rPr>
        <w:t> </w:t>
      </w:r>
      <w:r>
        <w:rPr>
          <w:sz w:val="24"/>
        </w:rPr>
        <w:t>mid-June.</w:t>
      </w:r>
    </w:p>
    <w:p>
      <w:pPr>
        <w:pStyle w:val="BodyText"/>
        <w:spacing w:before="6"/>
      </w:pPr>
    </w:p>
    <w:p>
      <w:pPr>
        <w:pStyle w:val="ListParagraph"/>
        <w:numPr>
          <w:ilvl w:val="1"/>
          <w:numId w:val="14"/>
        </w:numPr>
        <w:tabs>
          <w:tab w:pos="2100" w:val="left" w:leader="none"/>
          <w:tab w:pos="2101" w:val="left" w:leader="none"/>
        </w:tabs>
        <w:spacing w:line="235" w:lineRule="auto" w:before="0" w:after="0"/>
        <w:ind w:left="2100" w:right="1480" w:hanging="559"/>
        <w:jc w:val="left"/>
        <w:rPr>
          <w:sz w:val="24"/>
        </w:rPr>
      </w:pPr>
      <w:r>
        <w:rPr>
          <w:sz w:val="24"/>
        </w:rPr>
        <w:t>Ted Buehner has retired as Warning Coordination Meteorologist (WCM). The WCM position had not yet been filled as of April</w:t>
      </w:r>
      <w:r>
        <w:rPr>
          <w:spacing w:val="-16"/>
          <w:sz w:val="24"/>
        </w:rPr>
        <w:t> </w:t>
      </w:r>
      <w:r>
        <w:rPr>
          <w:sz w:val="24"/>
        </w:rPr>
        <w:t>2018.</w:t>
      </w:r>
    </w:p>
    <w:p>
      <w:pPr>
        <w:pStyle w:val="BodyText"/>
        <w:spacing w:before="3"/>
      </w:pPr>
    </w:p>
    <w:p>
      <w:pPr>
        <w:pStyle w:val="ListParagraph"/>
        <w:numPr>
          <w:ilvl w:val="1"/>
          <w:numId w:val="14"/>
        </w:numPr>
        <w:tabs>
          <w:tab w:pos="2100" w:val="left" w:leader="none"/>
          <w:tab w:pos="2101" w:val="left" w:leader="none"/>
        </w:tabs>
        <w:spacing w:line="235" w:lineRule="auto" w:before="0" w:after="0"/>
        <w:ind w:left="2100" w:right="1489" w:hanging="559"/>
        <w:jc w:val="left"/>
        <w:rPr>
          <w:sz w:val="24"/>
        </w:rPr>
      </w:pPr>
      <w:r>
        <w:rPr>
          <w:sz w:val="24"/>
        </w:rPr>
        <w:t>Fire Weather Program Co-Leads are now best reached by phone via the Fire Weather Desk phone number,</w:t>
      </w:r>
      <w:r>
        <w:rPr>
          <w:spacing w:val="-9"/>
          <w:sz w:val="24"/>
        </w:rPr>
        <w:t> </w:t>
      </w:r>
      <w:r>
        <w:rPr>
          <w:sz w:val="24"/>
        </w:rPr>
        <w:t>206-526-6088.</w:t>
      </w:r>
    </w:p>
    <w:p>
      <w:pPr>
        <w:pStyle w:val="BodyText"/>
        <w:spacing w:before="6"/>
      </w:pPr>
    </w:p>
    <w:p>
      <w:pPr>
        <w:pStyle w:val="ListParagraph"/>
        <w:numPr>
          <w:ilvl w:val="1"/>
          <w:numId w:val="14"/>
        </w:numPr>
        <w:tabs>
          <w:tab w:pos="2100" w:val="left" w:leader="none"/>
          <w:tab w:pos="2101" w:val="left" w:leader="none"/>
        </w:tabs>
        <w:spacing w:line="235" w:lineRule="auto" w:before="0" w:after="0"/>
        <w:ind w:left="2100" w:right="1944" w:hanging="559"/>
        <w:jc w:val="left"/>
        <w:rPr>
          <w:sz w:val="24"/>
        </w:rPr>
      </w:pPr>
      <w:r>
        <w:rPr>
          <w:sz w:val="24"/>
        </w:rPr>
        <w:t>Web address and visual appearance of NWS Seattle’s Fire Weather webpage have been updated. The new</w:t>
      </w:r>
      <w:r>
        <w:rPr>
          <w:spacing w:val="-9"/>
          <w:sz w:val="24"/>
        </w:rPr>
        <w:t> </w:t>
      </w:r>
      <w:r>
        <w:rPr>
          <w:sz w:val="24"/>
        </w:rPr>
        <w:t>address</w:t>
      </w:r>
    </w:p>
    <w:p>
      <w:pPr>
        <w:pStyle w:val="BodyText"/>
        <w:spacing w:before="1"/>
        <w:ind w:left="2100" w:right="1326"/>
      </w:pPr>
      <w:r>
        <w:rPr/>
        <w:t>is </w:t>
      </w:r>
      <w:hyperlink r:id="rId93">
        <w:r>
          <w:rPr>
            <w:color w:val="0000FF"/>
            <w:u w:val="single" w:color="0000FF"/>
          </w:rPr>
          <w:t>https://www.wrh.noaa.gov/fire2/?wfo=sew</w:t>
        </w:r>
      </w:hyperlink>
      <w:r>
        <w:rPr/>
        <w:t>. Re-directs continue from the old address.</w:t>
      </w:r>
    </w:p>
    <w:p>
      <w:pPr>
        <w:pStyle w:val="BodyText"/>
        <w:spacing w:before="2"/>
      </w:pPr>
    </w:p>
    <w:p>
      <w:pPr>
        <w:pStyle w:val="ListParagraph"/>
        <w:numPr>
          <w:ilvl w:val="1"/>
          <w:numId w:val="14"/>
        </w:numPr>
        <w:tabs>
          <w:tab w:pos="2100" w:val="left" w:leader="none"/>
          <w:tab w:pos="2101" w:val="left" w:leader="none"/>
        </w:tabs>
        <w:spacing w:line="237" w:lineRule="auto" w:before="1" w:after="0"/>
        <w:ind w:left="2100" w:right="1144" w:hanging="559"/>
        <w:jc w:val="left"/>
        <w:rPr>
          <w:sz w:val="24"/>
        </w:rPr>
      </w:pPr>
      <w:r>
        <w:rPr>
          <w:sz w:val="24"/>
        </w:rPr>
        <w:t>Have given forecasters further discretion in issuing lightning-based RFWs with the following phrase describing Red Flag Criteria, “the forecast LAL </w:t>
      </w:r>
      <w:r>
        <w:rPr>
          <w:i/>
          <w:sz w:val="24"/>
        </w:rPr>
        <w:t>will </w:t>
      </w:r>
      <w:r>
        <w:rPr>
          <w:i/>
          <w:sz w:val="24"/>
        </w:rPr>
        <w:t>usually </w:t>
      </w:r>
      <w:r>
        <w:rPr>
          <w:sz w:val="24"/>
        </w:rPr>
        <w:t>be 3 or higher, </w:t>
      </w:r>
      <w:r>
        <w:rPr>
          <w:i/>
          <w:sz w:val="24"/>
        </w:rPr>
        <w:t>but may be 2 when fuels are extremely dry, e.g. by </w:t>
      </w:r>
      <w:r>
        <w:rPr>
          <w:i/>
          <w:sz w:val="24"/>
        </w:rPr>
        <w:t>exceeding the 97</w:t>
      </w:r>
      <w:r>
        <w:rPr>
          <w:i/>
          <w:sz w:val="24"/>
          <w:vertAlign w:val="superscript"/>
        </w:rPr>
        <w:t>th</w:t>
      </w:r>
      <w:r>
        <w:rPr>
          <w:i/>
          <w:sz w:val="24"/>
          <w:vertAlign w:val="baseline"/>
        </w:rPr>
        <w:t> percentile</w:t>
      </w:r>
      <w:r>
        <w:rPr>
          <w:i/>
          <w:spacing w:val="-24"/>
          <w:sz w:val="24"/>
          <w:vertAlign w:val="baseline"/>
        </w:rPr>
        <w:t> </w:t>
      </w:r>
      <w:r>
        <w:rPr>
          <w:i/>
          <w:sz w:val="24"/>
          <w:vertAlign w:val="baseline"/>
        </w:rPr>
        <w:t>ERC.</w:t>
      </w:r>
      <w:r>
        <w:rPr>
          <w:sz w:val="24"/>
          <w:vertAlign w:val="baseline"/>
        </w:rPr>
        <w:t>”</w:t>
      </w:r>
    </w:p>
    <w:p>
      <w:pPr>
        <w:pStyle w:val="BodyText"/>
        <w:rPr>
          <w:sz w:val="30"/>
        </w:rPr>
      </w:pPr>
    </w:p>
    <w:p>
      <w:pPr>
        <w:pStyle w:val="Heading8"/>
        <w:spacing w:before="210"/>
        <w:ind w:left="1380"/>
      </w:pPr>
      <w:bookmarkStart w:name="LOCATION" w:id="100"/>
      <w:bookmarkEnd w:id="100"/>
      <w:r>
        <w:rPr>
          <w:b w:val="0"/>
        </w:rPr>
      </w:r>
      <w:r>
        <w:rPr/>
        <w:t>LOCATION</w:t>
      </w:r>
    </w:p>
    <w:p>
      <w:pPr>
        <w:pStyle w:val="BodyText"/>
        <w:rPr>
          <w:b/>
        </w:rPr>
      </w:pPr>
    </w:p>
    <w:p>
      <w:pPr>
        <w:pStyle w:val="BodyText"/>
        <w:ind w:left="1380" w:right="1422"/>
      </w:pPr>
      <w:r>
        <w:rPr/>
        <w:t>The National Weather Service Forecast Office in Seattle is located at the NOAA Western Regional Center in northeast Seattle. The address is:</w:t>
      </w:r>
    </w:p>
    <w:p>
      <w:pPr>
        <w:pStyle w:val="BodyText"/>
      </w:pPr>
    </w:p>
    <w:p>
      <w:pPr>
        <w:pStyle w:val="BodyText"/>
        <w:ind w:left="1380"/>
      </w:pPr>
      <w:r>
        <w:rPr/>
        <w:t>NOAA - National Weather Service</w:t>
      </w:r>
    </w:p>
    <w:p>
      <w:pPr>
        <w:spacing w:after="0"/>
        <w:sectPr>
          <w:footerReference w:type="default" r:id="rId92"/>
          <w:pgSz w:w="12240" w:h="15840"/>
          <w:pgMar w:footer="968" w:header="0" w:top="1360" w:bottom="1160" w:left="340" w:right="620"/>
          <w:pgNumType w:start="68"/>
        </w:sectPr>
      </w:pPr>
    </w:p>
    <w:p>
      <w:pPr>
        <w:pStyle w:val="BodyText"/>
        <w:spacing w:before="76"/>
        <w:ind w:left="1380" w:right="7158"/>
      </w:pPr>
      <w:r>
        <w:rPr/>
        <w:t>7600 Sand Point Way NE Seattle, WA 98115-0070</w:t>
      </w:r>
    </w:p>
    <w:p>
      <w:pPr>
        <w:pStyle w:val="BodyText"/>
      </w:pPr>
    </w:p>
    <w:p>
      <w:pPr>
        <w:pStyle w:val="Heading8"/>
        <w:ind w:left="1380"/>
      </w:pPr>
      <w:bookmarkStart w:name="HOURS OF OPERATION" w:id="101"/>
      <w:bookmarkEnd w:id="101"/>
      <w:r>
        <w:rPr>
          <w:b w:val="0"/>
        </w:rPr>
      </w:r>
      <w:r>
        <w:rPr/>
        <w:t>HOURS OF OPERATION</w:t>
      </w:r>
    </w:p>
    <w:p>
      <w:pPr>
        <w:pStyle w:val="BodyText"/>
        <w:rPr>
          <w:b/>
        </w:rPr>
      </w:pPr>
    </w:p>
    <w:p>
      <w:pPr>
        <w:pStyle w:val="BodyText"/>
        <w:ind w:left="1380" w:right="1047"/>
      </w:pPr>
      <w:r>
        <w:rPr/>
        <w:t>The National Weather Service (NWS) in Seattle operates 24 hours a day, 7 days a week, every day of the year. During wildfire season, a forecaster is dedicated to Fire Weather-related Decision Support from 7:00 a.m. to 5:00 p.m. These are the best hours to submit Spot Forecast requests. However, all NWS Seattle forecasters are trained in Fire Weather and can handle your requests anytime</w:t>
      </w:r>
      <w:r>
        <w:rPr>
          <w:spacing w:val="-38"/>
        </w:rPr>
        <w:t> </w:t>
      </w:r>
      <w:r>
        <w:rPr/>
        <w:t>24/7.</w:t>
      </w:r>
    </w:p>
    <w:p>
      <w:pPr>
        <w:pStyle w:val="BodyText"/>
      </w:pPr>
    </w:p>
    <w:p>
      <w:pPr>
        <w:pStyle w:val="BodyText"/>
        <w:ind w:left="1380" w:right="1115"/>
      </w:pPr>
      <w:r>
        <w:rPr/>
        <w:t>In-season levels of service will begin on the first Monday in June and end following the first Friday in October. For 2018, those dates are:</w:t>
      </w:r>
    </w:p>
    <w:p>
      <w:pPr>
        <w:pStyle w:val="BodyText"/>
      </w:pPr>
    </w:p>
    <w:p>
      <w:pPr>
        <w:tabs>
          <w:tab w:pos="2820" w:val="left" w:leader="none"/>
        </w:tabs>
        <w:spacing w:before="1"/>
        <w:ind w:left="1380" w:right="4605" w:firstLine="0"/>
        <w:jc w:val="left"/>
        <w:rPr>
          <w:sz w:val="24"/>
        </w:rPr>
      </w:pPr>
      <w:r>
        <w:rPr>
          <w:b/>
          <w:sz w:val="24"/>
        </w:rPr>
        <w:t>June</w:t>
      </w:r>
      <w:r>
        <w:rPr>
          <w:b/>
          <w:spacing w:val="-1"/>
          <w:sz w:val="24"/>
        </w:rPr>
        <w:t> </w:t>
      </w:r>
      <w:r>
        <w:rPr>
          <w:b/>
          <w:sz w:val="24"/>
        </w:rPr>
        <w:t>4:</w:t>
        <w:tab/>
      </w:r>
      <w:r>
        <w:rPr>
          <w:sz w:val="24"/>
        </w:rPr>
        <w:t>In-season level of service </w:t>
      </w:r>
      <w:r>
        <w:rPr>
          <w:b/>
          <w:sz w:val="24"/>
        </w:rPr>
        <w:t>begins October</w:t>
      </w:r>
      <w:r>
        <w:rPr>
          <w:b/>
          <w:spacing w:val="-2"/>
          <w:sz w:val="24"/>
        </w:rPr>
        <w:t> </w:t>
      </w:r>
      <w:r>
        <w:rPr>
          <w:b/>
          <w:sz w:val="24"/>
        </w:rPr>
        <w:t>5:</w:t>
        <w:tab/>
        <w:t>Last day </w:t>
      </w:r>
      <w:r>
        <w:rPr>
          <w:sz w:val="24"/>
        </w:rPr>
        <w:t>of in-season service</w:t>
      </w:r>
      <w:r>
        <w:rPr>
          <w:spacing w:val="-20"/>
          <w:sz w:val="24"/>
        </w:rPr>
        <w:t> </w:t>
      </w:r>
      <w:r>
        <w:rPr>
          <w:sz w:val="24"/>
        </w:rPr>
        <w:t>levels</w:t>
      </w:r>
    </w:p>
    <w:p>
      <w:pPr>
        <w:pStyle w:val="BodyText"/>
        <w:spacing w:before="2"/>
      </w:pPr>
    </w:p>
    <w:p>
      <w:pPr>
        <w:pStyle w:val="BodyText"/>
        <w:spacing w:line="237" w:lineRule="auto"/>
        <w:ind w:left="1380" w:right="1582"/>
      </w:pPr>
      <w:r>
        <w:rPr/>
        <w:t>In-season service levels can be extended further into October if environmental conditions warrant.</w:t>
      </w:r>
    </w:p>
    <w:p>
      <w:pPr>
        <w:pStyle w:val="BodyText"/>
        <w:spacing w:before="1"/>
      </w:pPr>
    </w:p>
    <w:p>
      <w:pPr>
        <w:pStyle w:val="Heading8"/>
        <w:ind w:left="1380"/>
      </w:pPr>
      <w:r>
        <w:rPr/>
        <w:t>STAFF</w:t>
      </w:r>
    </w:p>
    <w:p>
      <w:pPr>
        <w:pStyle w:val="BodyText"/>
        <w:rPr>
          <w:b/>
        </w:rPr>
      </w:pPr>
    </w:p>
    <w:p>
      <w:pPr>
        <w:pStyle w:val="BodyText"/>
        <w:tabs>
          <w:tab w:pos="3271" w:val="left" w:leader="none"/>
          <w:tab w:pos="7860" w:val="left" w:leader="none"/>
        </w:tabs>
        <w:ind w:left="1380"/>
      </w:pPr>
      <w:r>
        <w:rPr>
          <w:u w:val="single"/>
        </w:rPr>
        <w:t>Name</w:t>
      </w:r>
      <w:r>
        <w:rPr/>
        <w:tab/>
      </w:r>
      <w:r>
        <w:rPr>
          <w:u w:val="single"/>
        </w:rPr>
        <w:t>Position</w:t>
      </w:r>
      <w:r>
        <w:rPr/>
        <w:tab/>
      </w:r>
      <w:r>
        <w:rPr>
          <w:u w:val="single"/>
        </w:rPr>
        <w:t>E-mail</w:t>
      </w:r>
    </w:p>
    <w:p>
      <w:pPr>
        <w:pStyle w:val="BodyText"/>
        <w:tabs>
          <w:tab w:pos="3271" w:val="left" w:leader="none"/>
          <w:tab w:pos="7140" w:val="left" w:leader="none"/>
        </w:tabs>
        <w:ind w:left="1380" w:right="1409"/>
      </w:pPr>
      <w:r>
        <w:rPr/>
        <w:t>Logan</w:t>
      </w:r>
      <w:r>
        <w:rPr>
          <w:spacing w:val="-2"/>
        </w:rPr>
        <w:t> </w:t>
      </w:r>
      <w:r>
        <w:rPr/>
        <w:t>Johnson</w:t>
        <w:tab/>
        <w:t>Meteorologist-in-Charge</w:t>
        <w:tab/>
      </w:r>
      <w:hyperlink r:id="rId94">
        <w:r>
          <w:rPr>
            <w:color w:val="0000FF"/>
            <w:spacing w:val="-1"/>
            <w:u w:val="single" w:color="0000FF"/>
          </w:rPr>
          <w:t>logan.johnson@noaa.gov</w:t>
        </w:r>
      </w:hyperlink>
      <w:r>
        <w:rPr>
          <w:color w:val="0000FF"/>
          <w:spacing w:val="-1"/>
        </w:rPr>
        <w:t> </w:t>
      </w:r>
      <w:r>
        <w:rPr/>
        <w:t>Andy</w:t>
      </w:r>
      <w:r>
        <w:rPr>
          <w:spacing w:val="-3"/>
        </w:rPr>
        <w:t> </w:t>
      </w:r>
      <w:r>
        <w:rPr/>
        <w:t>Haner</w:t>
        <w:tab/>
        <w:t>Fire Weather Program Leader /</w:t>
      </w:r>
      <w:r>
        <w:rPr>
          <w:spacing w:val="-9"/>
        </w:rPr>
        <w:t> </w:t>
      </w:r>
      <w:r>
        <w:rPr/>
        <w:t>IMET</w:t>
      </w:r>
    </w:p>
    <w:p>
      <w:pPr>
        <w:pStyle w:val="BodyText"/>
        <w:ind w:left="3272"/>
      </w:pPr>
      <w:hyperlink r:id="rId95">
        <w:r>
          <w:rPr>
            <w:color w:val="0000FF"/>
            <w:u w:val="single" w:color="0000FF"/>
          </w:rPr>
          <w:t>andrew.haner@noaa.gov</w:t>
        </w:r>
      </w:hyperlink>
    </w:p>
    <w:p>
      <w:pPr>
        <w:pStyle w:val="BodyText"/>
        <w:tabs>
          <w:tab w:pos="3283" w:val="left" w:leader="none"/>
        </w:tabs>
        <w:ind w:left="1380" w:right="1638"/>
        <w:jc w:val="both"/>
      </w:pPr>
      <w:r>
        <w:rPr/>
        <w:t>Steve Reedy    Fire Weather Program Leader     </w:t>
      </w:r>
      <w:hyperlink r:id="rId96">
        <w:r>
          <w:rPr>
            <w:color w:val="0000FF"/>
            <w:u w:val="single" w:color="0000FF"/>
          </w:rPr>
          <w:t>steve.reedy@noaa.gov</w:t>
        </w:r>
      </w:hyperlink>
      <w:r>
        <w:rPr>
          <w:color w:val="0000FF"/>
        </w:rPr>
        <w:t> </w:t>
      </w:r>
      <w:r>
        <w:rPr/>
        <w:t>Brent Bower Senior Service Hydrologist / IMET </w:t>
      </w:r>
      <w:hyperlink r:id="rId97">
        <w:r>
          <w:rPr>
            <w:color w:val="0000FF"/>
            <w:u w:val="single" w:color="0000FF"/>
          </w:rPr>
          <w:t>brent.bower@noaa.gov</w:t>
        </w:r>
      </w:hyperlink>
      <w:r>
        <w:rPr>
          <w:color w:val="0000FF"/>
        </w:rPr>
        <w:t> </w:t>
      </w:r>
      <w:r>
        <w:rPr>
          <w:i/>
        </w:rPr>
        <w:t>Vacant</w:t>
        <w:tab/>
      </w:r>
      <w:r>
        <w:rPr/>
        <w:t>Warning Coordination</w:t>
      </w:r>
      <w:r>
        <w:rPr>
          <w:spacing w:val="-1"/>
        </w:rPr>
        <w:t> </w:t>
      </w:r>
      <w:r>
        <w:rPr/>
        <w:t>Meteorologist</w:t>
      </w:r>
    </w:p>
    <w:p>
      <w:pPr>
        <w:pStyle w:val="BodyText"/>
        <w:tabs>
          <w:tab w:pos="3288" w:val="left" w:leader="none"/>
          <w:tab w:pos="7860" w:val="left" w:leader="none"/>
        </w:tabs>
        <w:ind w:left="1380"/>
      </w:pPr>
      <w:r>
        <w:rPr/>
        <w:t>Kirby</w:t>
      </w:r>
      <w:r>
        <w:rPr>
          <w:spacing w:val="-4"/>
        </w:rPr>
        <w:t> </w:t>
      </w:r>
      <w:r>
        <w:rPr/>
        <w:t>Cook</w:t>
        <w:tab/>
        <w:t>Science and</w:t>
      </w:r>
      <w:r>
        <w:rPr>
          <w:spacing w:val="-4"/>
        </w:rPr>
        <w:t> </w:t>
      </w:r>
      <w:r>
        <w:rPr/>
        <w:t>Operations</w:t>
      </w:r>
      <w:r>
        <w:rPr>
          <w:spacing w:val="-5"/>
        </w:rPr>
        <w:t> </w:t>
      </w:r>
      <w:r>
        <w:rPr/>
        <w:t>Officer</w:t>
        <w:tab/>
      </w:r>
      <w:hyperlink r:id="rId98">
        <w:r>
          <w:rPr>
            <w:color w:val="0000FF"/>
            <w:u w:val="single" w:color="0000FF"/>
          </w:rPr>
          <w:t>kirby.cook@noaa.gov</w:t>
        </w:r>
      </w:hyperlink>
    </w:p>
    <w:p>
      <w:pPr>
        <w:pStyle w:val="BodyText"/>
        <w:rPr>
          <w:sz w:val="16"/>
        </w:rPr>
      </w:pPr>
    </w:p>
    <w:p>
      <w:pPr>
        <w:pStyle w:val="BodyText"/>
        <w:spacing w:before="92"/>
        <w:ind w:left="1380" w:right="1315"/>
      </w:pPr>
      <w:r>
        <w:rPr/>
        <w:t>All of NWS Seattle’s forecasters are trained to provide Fire Weather-related Decision Support Services and will rotate through that service position during fire season.</w:t>
      </w:r>
    </w:p>
    <w:p>
      <w:pPr>
        <w:pStyle w:val="BodyText"/>
      </w:pPr>
    </w:p>
    <w:p>
      <w:pPr>
        <w:pStyle w:val="Heading8"/>
        <w:ind w:left="1380"/>
      </w:pPr>
      <w:bookmarkStart w:name="PHONE NUMBERS" w:id="102"/>
      <w:bookmarkEnd w:id="102"/>
      <w:r>
        <w:rPr>
          <w:b w:val="0"/>
        </w:rPr>
      </w:r>
      <w:r>
        <w:rPr/>
        <w:t>PHONE NUMBERS</w:t>
      </w:r>
    </w:p>
    <w:p>
      <w:pPr>
        <w:pStyle w:val="BodyText"/>
        <w:tabs>
          <w:tab w:pos="5700" w:val="left" w:leader="none"/>
        </w:tabs>
        <w:ind w:left="1380"/>
      </w:pPr>
      <w:r>
        <w:rPr/>
        <w:t>Fire</w:t>
      </w:r>
      <w:r>
        <w:rPr>
          <w:spacing w:val="-5"/>
        </w:rPr>
        <w:t> </w:t>
      </w:r>
      <w:r>
        <w:rPr/>
        <w:t>Weather</w:t>
      </w:r>
      <w:r>
        <w:rPr>
          <w:spacing w:val="-2"/>
        </w:rPr>
        <w:t> </w:t>
      </w:r>
      <w:r>
        <w:rPr/>
        <w:t>Desk</w:t>
        <w:tab/>
        <w:t>206-526-6088 (unlisted)</w:t>
      </w:r>
    </w:p>
    <w:p>
      <w:pPr>
        <w:pStyle w:val="BodyText"/>
        <w:tabs>
          <w:tab w:pos="5700" w:val="left" w:leader="none"/>
          <w:tab w:pos="6420" w:val="left" w:leader="none"/>
        </w:tabs>
        <w:ind w:left="1380" w:right="2505"/>
      </w:pPr>
      <w:r>
        <w:rPr/>
        <w:t>Public</w:t>
      </w:r>
      <w:r>
        <w:rPr>
          <w:spacing w:val="-4"/>
        </w:rPr>
        <w:t> </w:t>
      </w:r>
      <w:r>
        <w:rPr/>
        <w:t>Forecaster</w:t>
      </w:r>
      <w:r>
        <w:rPr>
          <w:spacing w:val="-4"/>
        </w:rPr>
        <w:t> </w:t>
      </w:r>
      <w:r>
        <w:rPr/>
        <w:t>(24/7)</w:t>
        <w:tab/>
        <w:t>206-526-6083 (unlisted) Logan</w:t>
      </w:r>
      <w:r>
        <w:rPr>
          <w:spacing w:val="-6"/>
        </w:rPr>
        <w:t> </w:t>
      </w:r>
      <w:r>
        <w:rPr/>
        <w:t>Johnson,</w:t>
      </w:r>
      <w:r>
        <w:rPr>
          <w:spacing w:val="-6"/>
        </w:rPr>
        <w:t> </w:t>
      </w:r>
      <w:r>
        <w:rPr/>
        <w:t>Meteorologist-in-Charge</w:t>
        <w:tab/>
        <w:t>206-526-6095 ext</w:t>
      </w:r>
      <w:r>
        <w:rPr>
          <w:spacing w:val="-10"/>
        </w:rPr>
        <w:t> </w:t>
      </w:r>
      <w:r>
        <w:rPr/>
        <w:t>222</w:t>
      </w:r>
    </w:p>
    <w:p>
      <w:pPr>
        <w:pStyle w:val="BodyText"/>
        <w:tabs>
          <w:tab w:pos="6420" w:val="left" w:leader="none"/>
        </w:tabs>
        <w:spacing w:line="274" w:lineRule="exact"/>
        <w:ind w:left="1380"/>
      </w:pPr>
      <w:r>
        <w:rPr>
          <w:i/>
        </w:rPr>
        <w:t>Vacant</w:t>
      </w:r>
      <w:r>
        <w:rPr/>
        <w:t>,</w:t>
      </w:r>
      <w:r>
        <w:rPr>
          <w:spacing w:val="-6"/>
        </w:rPr>
        <w:t> </w:t>
      </w:r>
      <w:r>
        <w:rPr/>
        <w:t>WCM</w:t>
        <w:tab/>
        <w:t>206-526-6095 ext</w:t>
      </w:r>
      <w:r>
        <w:rPr>
          <w:spacing w:val="-10"/>
        </w:rPr>
        <w:t> </w:t>
      </w:r>
      <w:r>
        <w:rPr/>
        <w:t>223</w:t>
      </w:r>
    </w:p>
    <w:p>
      <w:pPr>
        <w:pStyle w:val="BodyText"/>
        <w:tabs>
          <w:tab w:pos="5700" w:val="left" w:leader="none"/>
        </w:tabs>
        <w:spacing w:before="3"/>
        <w:ind w:left="1380" w:right="3225"/>
      </w:pPr>
      <w:r>
        <w:rPr/>
        <w:t>Kirby</w:t>
      </w:r>
      <w:r>
        <w:rPr>
          <w:spacing w:val="-3"/>
        </w:rPr>
        <w:t> </w:t>
      </w:r>
      <w:r>
        <w:rPr/>
        <w:t>Cook, SOO</w:t>
        <w:tab/>
        <w:t>206-526-6095 ext 224 Andy Haner, </w:t>
      </w:r>
      <w:r>
        <w:rPr>
          <w:spacing w:val="-4"/>
        </w:rPr>
        <w:t>FW</w:t>
      </w:r>
      <w:r>
        <w:rPr>
          <w:spacing w:val="-2"/>
        </w:rPr>
        <w:t> </w:t>
      </w:r>
      <w:r>
        <w:rPr/>
        <w:t>Program</w:t>
      </w:r>
      <w:r>
        <w:rPr>
          <w:spacing w:val="-1"/>
        </w:rPr>
        <w:t> </w:t>
      </w:r>
      <w:r>
        <w:rPr/>
        <w:t>Co-Leader</w:t>
        <w:tab/>
        <w:t>206-526-6088</w:t>
      </w:r>
    </w:p>
    <w:p>
      <w:pPr>
        <w:pStyle w:val="BodyText"/>
        <w:tabs>
          <w:tab w:pos="5700" w:val="left" w:leader="none"/>
        </w:tabs>
        <w:ind w:left="1380"/>
      </w:pPr>
      <w:r>
        <w:rPr/>
        <w:t>Steve Reedy, </w:t>
      </w:r>
      <w:r>
        <w:rPr>
          <w:spacing w:val="-3"/>
        </w:rPr>
        <w:t>FW </w:t>
      </w:r>
      <w:r>
        <w:rPr/>
        <w:t>Program</w:t>
      </w:r>
      <w:r>
        <w:rPr>
          <w:spacing w:val="-1"/>
        </w:rPr>
        <w:t> </w:t>
      </w:r>
      <w:r>
        <w:rPr/>
        <w:t>Co-Leader</w:t>
        <w:tab/>
        <w:t>206-526-6088</w:t>
      </w:r>
    </w:p>
    <w:p>
      <w:pPr>
        <w:pStyle w:val="BodyText"/>
        <w:spacing w:before="11"/>
        <w:rPr>
          <w:sz w:val="23"/>
        </w:rPr>
      </w:pPr>
    </w:p>
    <w:p>
      <w:pPr>
        <w:pStyle w:val="Heading8"/>
        <w:ind w:left="1380"/>
      </w:pPr>
      <w:bookmarkStart w:name="INTERNET" w:id="103"/>
      <w:bookmarkEnd w:id="103"/>
      <w:r>
        <w:rPr>
          <w:b w:val="0"/>
        </w:rPr>
      </w:r>
      <w:r>
        <w:rPr/>
        <w:t>INTERNET</w:t>
      </w:r>
    </w:p>
    <w:p>
      <w:pPr>
        <w:pStyle w:val="BodyText"/>
        <w:ind w:left="1380"/>
      </w:pPr>
      <w:r>
        <w:rPr/>
        <w:t>NWS Seattle Homepage:</w:t>
      </w:r>
      <w:r>
        <w:rPr>
          <w:spacing w:val="63"/>
        </w:rPr>
        <w:t> </w:t>
      </w:r>
      <w:hyperlink r:id="rId99">
        <w:r>
          <w:rPr>
            <w:color w:val="0000FF"/>
            <w:u w:val="single" w:color="0000FF"/>
          </w:rPr>
          <w:t>http://www.weather.gov/seattle</w:t>
        </w:r>
      </w:hyperlink>
    </w:p>
    <w:p>
      <w:pPr>
        <w:pStyle w:val="BodyText"/>
        <w:ind w:left="1380"/>
      </w:pPr>
      <w:r>
        <w:rPr/>
        <w:t>NWS Seattle Fire Weather page:</w:t>
      </w:r>
      <w:r>
        <w:rPr>
          <w:spacing w:val="53"/>
        </w:rPr>
        <w:t> </w:t>
      </w:r>
      <w:hyperlink r:id="rId93">
        <w:r>
          <w:rPr>
            <w:color w:val="0000FF"/>
            <w:u w:val="single" w:color="0000FF"/>
          </w:rPr>
          <w:t>https://www.wrh.noaa.gov/fire2/?wfo=sew</w:t>
        </w:r>
      </w:hyperlink>
    </w:p>
    <w:p>
      <w:pPr>
        <w:spacing w:after="0"/>
        <w:sectPr>
          <w:pgSz w:w="12240" w:h="15840"/>
          <w:pgMar w:header="0" w:footer="968" w:top="1280" w:bottom="1240" w:left="340" w:right="620"/>
        </w:sectPr>
      </w:pPr>
    </w:p>
    <w:p>
      <w:pPr>
        <w:pStyle w:val="BodyText"/>
        <w:spacing w:before="76"/>
        <w:ind w:left="1380"/>
      </w:pPr>
      <w:r>
        <w:rPr/>
        <w:t>Facebook</w:t>
      </w:r>
    </w:p>
    <w:p>
      <w:pPr>
        <w:pStyle w:val="BodyText"/>
        <w:ind w:left="1380" w:right="1740"/>
      </w:pPr>
      <w:r>
        <w:rPr/>
        <w:t>page: </w:t>
      </w:r>
      <w:hyperlink r:id="rId100">
        <w:r>
          <w:rPr>
            <w:color w:val="0000FF"/>
            <w:u w:val="single" w:color="0000FF"/>
          </w:rPr>
          <w:t>https://www.facebook.com/US.NationalWeatherService.Seattle.gov</w:t>
        </w:r>
      </w:hyperlink>
      <w:r>
        <w:rPr>
          <w:color w:val="0000FF"/>
        </w:rPr>
        <w:t> </w:t>
      </w:r>
      <w:r>
        <w:rPr/>
        <w:t>Twitter page:</w:t>
      </w:r>
      <w:r>
        <w:rPr>
          <w:spacing w:val="62"/>
        </w:rPr>
        <w:t> </w:t>
      </w:r>
      <w:hyperlink r:id="rId101">
        <w:r>
          <w:rPr>
            <w:color w:val="0000FF"/>
            <w:u w:val="single" w:color="0000FF"/>
          </w:rPr>
          <w:t>https://twitter.com/NWSSeattle</w:t>
        </w:r>
      </w:hyperlink>
    </w:p>
    <w:p>
      <w:pPr>
        <w:pStyle w:val="BodyText"/>
        <w:ind w:left="1380"/>
      </w:pPr>
      <w:r>
        <w:rPr/>
        <w:t>Twitter handle:</w:t>
      </w:r>
      <w:r>
        <w:rPr>
          <w:spacing w:val="63"/>
        </w:rPr>
        <w:t> </w:t>
      </w:r>
      <w:r>
        <w:rPr/>
        <w:t>@NWSSeattle</w:t>
      </w:r>
    </w:p>
    <w:p>
      <w:pPr>
        <w:pStyle w:val="BodyText"/>
      </w:pPr>
    </w:p>
    <w:p>
      <w:pPr>
        <w:pStyle w:val="Heading8"/>
        <w:ind w:left="1380"/>
      </w:pPr>
      <w:bookmarkStart w:name="FORECAST DISTRICT" w:id="104"/>
      <w:bookmarkEnd w:id="104"/>
      <w:r>
        <w:rPr>
          <w:b w:val="0"/>
        </w:rPr>
      </w:r>
      <w:r>
        <w:rPr/>
        <w:t>FORECAST DISTRICT</w:t>
      </w:r>
    </w:p>
    <w:p>
      <w:pPr>
        <w:pStyle w:val="BodyText"/>
        <w:ind w:left="1380" w:right="1089"/>
      </w:pPr>
      <w:r>
        <w:rPr/>
        <w:t>NWS Seattle has Fire Weather forecast responsibility for western Washington from the Cascade Crest to the Pacific Coast, and from the Canadian Border south through Lewis and Grays Harbor Counties. Responsibility also includes the Cowlitz Valley Ranger District on the Gifford-Pinchot National Forest, as well as the portion of the North Cascades National Park Complex east of the Cascade Crest. NWS Seattle’s Fire Weather area of responsibility is divided into 13 Fire Weather Zones that exhibit similar weather changes.</w:t>
      </w:r>
    </w:p>
    <w:p>
      <w:pPr>
        <w:pStyle w:val="BodyText"/>
        <w:rPr>
          <w:sz w:val="26"/>
        </w:rPr>
      </w:pPr>
    </w:p>
    <w:p>
      <w:pPr>
        <w:spacing w:before="161" w:after="4"/>
        <w:ind w:left="3187" w:right="0" w:firstLine="0"/>
        <w:jc w:val="left"/>
        <w:rPr>
          <w:b/>
          <w:sz w:val="40"/>
        </w:rPr>
      </w:pPr>
      <w:r>
        <w:rPr>
          <w:b/>
          <w:sz w:val="40"/>
          <w:u w:val="thick"/>
        </w:rPr>
        <w:t>Seattle Fire Weather Zones </w:t>
      </w:r>
    </w:p>
    <w:p>
      <w:pPr>
        <w:pStyle w:val="BodyText"/>
        <w:ind w:left="1629"/>
        <w:rPr>
          <w:sz w:val="20"/>
        </w:rPr>
      </w:pPr>
      <w:r>
        <w:rPr>
          <w:sz w:val="20"/>
        </w:rPr>
        <w:drawing>
          <wp:inline distT="0" distB="0" distL="0" distR="0">
            <wp:extent cx="5420152" cy="5295900"/>
            <wp:effectExtent l="0" t="0" r="0" b="0"/>
            <wp:docPr id="35" name="image18.jpeg" descr="Description: seattle"/>
            <wp:cNvGraphicFramePr>
              <a:graphicFrameLocks noChangeAspect="1"/>
            </wp:cNvGraphicFramePr>
            <a:graphic>
              <a:graphicData uri="http://schemas.openxmlformats.org/drawingml/2006/picture">
                <pic:pic>
                  <pic:nvPicPr>
                    <pic:cNvPr id="36" name="image18.jpeg"/>
                    <pic:cNvPicPr/>
                  </pic:nvPicPr>
                  <pic:blipFill>
                    <a:blip r:embed="rId102" cstate="print"/>
                    <a:stretch>
                      <a:fillRect/>
                    </a:stretch>
                  </pic:blipFill>
                  <pic:spPr>
                    <a:xfrm>
                      <a:off x="0" y="0"/>
                      <a:ext cx="5420152" cy="5295900"/>
                    </a:xfrm>
                    <a:prstGeom prst="rect">
                      <a:avLst/>
                    </a:prstGeom>
                  </pic:spPr>
                </pic:pic>
              </a:graphicData>
            </a:graphic>
          </wp:inline>
        </w:drawing>
      </w:r>
      <w:r>
        <w:rPr>
          <w:sz w:val="20"/>
        </w:rPr>
      </w:r>
    </w:p>
    <w:p>
      <w:pPr>
        <w:spacing w:after="0"/>
        <w:rPr>
          <w:sz w:val="20"/>
        </w:rPr>
        <w:sectPr>
          <w:pgSz w:w="12240" w:h="15840"/>
          <w:pgMar w:header="0" w:footer="968" w:top="1280" w:bottom="1240" w:left="340" w:right="620"/>
        </w:sectPr>
      </w:pPr>
    </w:p>
    <w:p>
      <w:pPr>
        <w:pStyle w:val="BodyText"/>
        <w:spacing w:before="5"/>
        <w:rPr>
          <w:b/>
          <w:sz w:val="27"/>
        </w:rPr>
      </w:pPr>
    </w:p>
    <w:p>
      <w:pPr>
        <w:pStyle w:val="Heading8"/>
        <w:spacing w:before="93"/>
        <w:ind w:left="1380"/>
      </w:pPr>
      <w:bookmarkStart w:name="FORECAST PRODUCTS" w:id="105"/>
      <w:bookmarkEnd w:id="105"/>
      <w:r>
        <w:rPr>
          <w:b w:val="0"/>
        </w:rPr>
      </w:r>
      <w:r>
        <w:rPr/>
        <w:t>FORECAST PRODUCTS</w:t>
      </w:r>
    </w:p>
    <w:p>
      <w:pPr>
        <w:pStyle w:val="BodyText"/>
        <w:rPr>
          <w:b/>
          <w:sz w:val="26"/>
        </w:rPr>
      </w:pPr>
    </w:p>
    <w:p>
      <w:pPr>
        <w:pStyle w:val="BodyText"/>
        <w:rPr>
          <w:b/>
          <w:sz w:val="22"/>
        </w:rPr>
      </w:pPr>
    </w:p>
    <w:p>
      <w:pPr>
        <w:pStyle w:val="ListParagraph"/>
        <w:numPr>
          <w:ilvl w:val="0"/>
          <w:numId w:val="15"/>
        </w:numPr>
        <w:tabs>
          <w:tab w:pos="2101" w:val="left" w:leader="none"/>
        </w:tabs>
        <w:spacing w:line="240" w:lineRule="auto" w:before="0" w:after="0"/>
        <w:ind w:left="2100" w:right="0" w:hanging="360"/>
        <w:jc w:val="left"/>
        <w:rPr>
          <w:b/>
          <w:sz w:val="24"/>
        </w:rPr>
      </w:pPr>
      <w:r>
        <w:rPr>
          <w:b/>
          <w:sz w:val="24"/>
          <w:u w:val="thick"/>
        </w:rPr>
        <w:t>FIRE WEATHER WATCHES </w:t>
      </w:r>
      <w:r>
        <w:rPr>
          <w:b/>
          <w:spacing w:val="-3"/>
          <w:sz w:val="24"/>
          <w:u w:val="thick"/>
        </w:rPr>
        <w:t>AND </w:t>
      </w:r>
      <w:r>
        <w:rPr>
          <w:b/>
          <w:sz w:val="24"/>
          <w:u w:val="thick"/>
        </w:rPr>
        <w:t>RED FLAG</w:t>
      </w:r>
      <w:r>
        <w:rPr>
          <w:b/>
          <w:spacing w:val="5"/>
          <w:sz w:val="24"/>
          <w:u w:val="thick"/>
        </w:rPr>
        <w:t> </w:t>
      </w:r>
      <w:r>
        <w:rPr>
          <w:b/>
          <w:sz w:val="24"/>
          <w:u w:val="thick"/>
        </w:rPr>
        <w:t>WARNINGS</w:t>
      </w:r>
      <w:r>
        <w:rPr>
          <w:b/>
          <w:spacing w:val="0"/>
          <w:sz w:val="24"/>
          <w:u w:val="thick"/>
        </w:rPr>
        <w:t> </w:t>
      </w:r>
    </w:p>
    <w:p>
      <w:pPr>
        <w:pStyle w:val="BodyText"/>
        <w:spacing w:before="11"/>
        <w:rPr>
          <w:b/>
          <w:sz w:val="15"/>
        </w:rPr>
      </w:pPr>
    </w:p>
    <w:p>
      <w:pPr>
        <w:pStyle w:val="BodyText"/>
        <w:spacing w:before="92"/>
        <w:ind w:left="1740" w:right="1382"/>
      </w:pPr>
      <w:hyperlink r:id="rId103">
        <w:r>
          <w:rPr>
            <w:color w:val="0000FF"/>
            <w:u w:val="single" w:color="0000FF"/>
          </w:rPr>
          <w:t>Fire Weather Watches and Red Flag Warnings</w:t>
        </w:r>
        <w:r>
          <w:rPr>
            <w:color w:val="0000FF"/>
          </w:rPr>
          <w:t> </w:t>
        </w:r>
      </w:hyperlink>
      <w:r>
        <w:rPr/>
        <w:t>will be issued when the </w:t>
      </w:r>
      <w:r>
        <w:rPr>
          <w:b/>
        </w:rPr>
        <w:t>combination of dry fuels </w:t>
      </w:r>
      <w:r>
        <w:rPr>
          <w:b/>
          <w:i/>
          <w:u w:val="thick"/>
        </w:rPr>
        <w:t>and</w:t>
      </w:r>
      <w:r>
        <w:rPr>
          <w:b/>
          <w:i/>
        </w:rPr>
        <w:t> </w:t>
      </w:r>
      <w:r>
        <w:rPr>
          <w:b/>
        </w:rPr>
        <w:t>weather conditions </w:t>
      </w:r>
      <w:r>
        <w:rPr/>
        <w:t>support extreme fire danger and/or fire behavior. Further overview of the Fire Weather Watch and Red Flag Warning programs is found on </w:t>
      </w:r>
      <w:r>
        <w:rPr>
          <w:color w:val="0000FF"/>
          <w:u w:val="single" w:color="0000FF"/>
        </w:rPr>
        <w:t>page 4</w:t>
      </w:r>
      <w:r>
        <w:rPr>
          <w:color w:val="0000FF"/>
        </w:rPr>
        <w:t> </w:t>
      </w:r>
      <w:r>
        <w:rPr/>
        <w:t>of this document.</w:t>
      </w:r>
    </w:p>
    <w:p>
      <w:pPr>
        <w:pStyle w:val="BodyText"/>
        <w:rPr>
          <w:sz w:val="16"/>
        </w:rPr>
      </w:pPr>
    </w:p>
    <w:p>
      <w:pPr>
        <w:pStyle w:val="Heading8"/>
        <w:numPr>
          <w:ilvl w:val="1"/>
          <w:numId w:val="15"/>
        </w:numPr>
        <w:tabs>
          <w:tab w:pos="2101" w:val="left" w:leader="none"/>
        </w:tabs>
        <w:spacing w:line="240" w:lineRule="auto" w:before="92" w:after="0"/>
        <w:ind w:left="2100" w:right="0" w:hanging="360"/>
        <w:jc w:val="left"/>
      </w:pPr>
      <w:r>
        <w:rPr/>
        <w:t>LOCAL CRITERIA FOR FUEL</w:t>
      </w:r>
      <w:r>
        <w:rPr>
          <w:spacing w:val="-6"/>
        </w:rPr>
        <w:t> </w:t>
      </w:r>
      <w:r>
        <w:rPr/>
        <w:t>DRYNESS</w:t>
      </w:r>
    </w:p>
    <w:p>
      <w:pPr>
        <w:pStyle w:val="BodyText"/>
        <w:rPr>
          <w:b/>
        </w:rPr>
      </w:pPr>
    </w:p>
    <w:p>
      <w:pPr>
        <w:pStyle w:val="BodyText"/>
        <w:ind w:left="2100" w:right="1156"/>
      </w:pPr>
      <w:r>
        <w:rPr/>
        <w:t>Fire Weather Watches and Red Flag Warnings will be considered in the Seattle Fire Weather District when the Energy Release Component (ERC), as described by the National Fire Danger Rating System (NFDRS)</w:t>
      </w:r>
      <w:r>
        <w:rPr>
          <w:i/>
        </w:rPr>
        <w:t>, </w:t>
      </w:r>
      <w:r>
        <w:rPr/>
        <w:t>is equal to or greater than the 90th percentile value in the frequency distribution of historical ERCs.</w:t>
      </w:r>
    </w:p>
    <w:p>
      <w:pPr>
        <w:pStyle w:val="BodyText"/>
        <w:spacing w:before="10"/>
        <w:rPr>
          <w:sz w:val="23"/>
        </w:rPr>
      </w:pPr>
    </w:p>
    <w:p>
      <w:pPr>
        <w:pStyle w:val="BodyText"/>
        <w:ind w:left="2100" w:right="1222"/>
        <w:jc w:val="both"/>
      </w:pPr>
      <w:r>
        <w:rPr/>
        <w:t>Forecast zone-average ERCs must meet or exceed the values listed below to meet the prerequisite dryness for consideration of a Fire Weather Watch or Red Flag Warning.</w:t>
      </w:r>
    </w:p>
    <w:p>
      <w:pPr>
        <w:pStyle w:val="BodyText"/>
        <w:tabs>
          <w:tab w:pos="5969" w:val="right" w:leader="none"/>
        </w:tabs>
        <w:spacing w:before="276"/>
        <w:ind w:left="2100"/>
      </w:pPr>
      <w:r>
        <w:rPr/>
        <w:t>Zone</w:t>
      </w:r>
      <w:r>
        <w:rPr>
          <w:spacing w:val="-2"/>
        </w:rPr>
        <w:t> </w:t>
      </w:r>
      <w:r>
        <w:rPr/>
        <w:t>649:</w:t>
        <w:tab/>
        <w:t>17</w:t>
      </w:r>
    </w:p>
    <w:p>
      <w:pPr>
        <w:pStyle w:val="BodyText"/>
        <w:tabs>
          <w:tab w:pos="5969" w:val="right" w:leader="none"/>
        </w:tabs>
        <w:ind w:left="2100"/>
      </w:pPr>
      <w:r>
        <w:rPr/>
        <w:t>Zones 650, 651, 653,</w:t>
      </w:r>
      <w:r>
        <w:rPr>
          <w:spacing w:val="-10"/>
        </w:rPr>
        <w:t> </w:t>
      </w:r>
      <w:r>
        <w:rPr/>
        <w:t>656,</w:t>
      </w:r>
      <w:r>
        <w:rPr>
          <w:spacing w:val="-3"/>
        </w:rPr>
        <w:t> </w:t>
      </w:r>
      <w:r>
        <w:rPr/>
        <w:t>657:</w:t>
        <w:tab/>
        <w:t>25</w:t>
      </w:r>
    </w:p>
    <w:p>
      <w:pPr>
        <w:pStyle w:val="BodyText"/>
        <w:tabs>
          <w:tab w:pos="5969" w:val="right" w:leader="none"/>
        </w:tabs>
        <w:ind w:left="2100"/>
      </w:pPr>
      <w:r>
        <w:rPr/>
        <w:t>Zones 652, 654, 655,</w:t>
      </w:r>
      <w:r>
        <w:rPr>
          <w:spacing w:val="-10"/>
        </w:rPr>
        <w:t> </w:t>
      </w:r>
      <w:r>
        <w:rPr/>
        <w:t>658,</w:t>
      </w:r>
      <w:r>
        <w:rPr>
          <w:spacing w:val="-3"/>
        </w:rPr>
        <w:t> </w:t>
      </w:r>
      <w:r>
        <w:rPr/>
        <w:t>659:</w:t>
        <w:tab/>
        <w:t>31</w:t>
      </w:r>
    </w:p>
    <w:p>
      <w:pPr>
        <w:pStyle w:val="BodyText"/>
        <w:tabs>
          <w:tab w:pos="5969" w:val="right" w:leader="none"/>
        </w:tabs>
        <w:ind w:left="2100"/>
      </w:pPr>
      <w:r>
        <w:rPr/>
        <w:t>Zone</w:t>
      </w:r>
      <w:r>
        <w:rPr>
          <w:spacing w:val="-2"/>
        </w:rPr>
        <w:t> </w:t>
      </w:r>
      <w:r>
        <w:rPr/>
        <w:t>661:</w:t>
        <w:tab/>
        <w:t>34</w:t>
      </w:r>
    </w:p>
    <w:p>
      <w:pPr>
        <w:pStyle w:val="BodyText"/>
        <w:tabs>
          <w:tab w:pos="5969" w:val="right" w:leader="none"/>
        </w:tabs>
        <w:ind w:left="2100"/>
      </w:pPr>
      <w:r>
        <w:rPr/>
        <w:t>Zone</w:t>
      </w:r>
      <w:r>
        <w:rPr>
          <w:spacing w:val="-2"/>
        </w:rPr>
        <w:t> </w:t>
      </w:r>
      <w:r>
        <w:rPr/>
        <w:t>662:</w:t>
        <w:tab/>
        <w:t>66</w:t>
      </w:r>
    </w:p>
    <w:p>
      <w:pPr>
        <w:pStyle w:val="Heading8"/>
        <w:numPr>
          <w:ilvl w:val="1"/>
          <w:numId w:val="15"/>
        </w:numPr>
        <w:tabs>
          <w:tab w:pos="2101" w:val="left" w:leader="none"/>
        </w:tabs>
        <w:spacing w:line="480" w:lineRule="auto" w:before="276" w:after="5"/>
        <w:ind w:left="2100" w:right="4887" w:hanging="360"/>
        <w:jc w:val="left"/>
      </w:pPr>
      <w:r>
        <w:rPr/>
        <w:t>LOCAL CRITERIA FOR WEATHER “Moderate Breeze and Low</w:t>
      </w:r>
      <w:r>
        <w:rPr>
          <w:spacing w:val="-18"/>
        </w:rPr>
        <w:t> </w:t>
      </w:r>
      <w:r>
        <w:rPr/>
        <w:t>Humidity”</w:t>
      </w:r>
    </w:p>
    <w:tbl>
      <w:tblPr>
        <w:tblW w:w="0" w:type="auto"/>
        <w:jc w:val="left"/>
        <w:tblInd w:w="1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73"/>
        <w:gridCol w:w="2395"/>
        <w:gridCol w:w="1034"/>
        <w:gridCol w:w="1036"/>
        <w:gridCol w:w="1840"/>
      </w:tblGrid>
      <w:tr>
        <w:trPr>
          <w:trHeight w:val="340" w:hRule="atLeast"/>
        </w:trPr>
        <w:tc>
          <w:tcPr>
            <w:tcW w:w="2873" w:type="dxa"/>
            <w:vMerge w:val="restart"/>
            <w:tcBorders>
              <w:bottom w:val="single" w:sz="4" w:space="0" w:color="000000"/>
              <w:right w:val="single" w:sz="4" w:space="0" w:color="000000"/>
            </w:tcBorders>
            <w:shd w:val="clear" w:color="auto" w:fill="D8E4BC"/>
          </w:tcPr>
          <w:p>
            <w:pPr>
              <w:pStyle w:val="TableParagraph"/>
              <w:spacing w:before="77"/>
              <w:ind w:left="1213" w:right="200" w:hanging="989"/>
              <w:rPr>
                <w:b/>
                <w:sz w:val="24"/>
              </w:rPr>
            </w:pPr>
            <w:r>
              <w:rPr>
                <w:b/>
                <w:sz w:val="24"/>
              </w:rPr>
              <w:t>Location and Time of Day</w:t>
            </w:r>
          </w:p>
        </w:tc>
        <w:tc>
          <w:tcPr>
            <w:tcW w:w="2395" w:type="dxa"/>
            <w:vMerge w:val="restart"/>
            <w:tcBorders>
              <w:left w:val="single" w:sz="4" w:space="0" w:color="000000"/>
              <w:bottom w:val="single" w:sz="4" w:space="0" w:color="000000"/>
              <w:right w:val="single" w:sz="4" w:space="0" w:color="000000"/>
            </w:tcBorders>
            <w:shd w:val="clear" w:color="auto" w:fill="D8E4BC"/>
          </w:tcPr>
          <w:p>
            <w:pPr>
              <w:pStyle w:val="TableParagraph"/>
              <w:spacing w:before="213"/>
              <w:ind w:left="707"/>
              <w:rPr>
                <w:b/>
                <w:sz w:val="24"/>
              </w:rPr>
            </w:pPr>
            <w:r>
              <w:rPr>
                <w:b/>
                <w:sz w:val="24"/>
              </w:rPr>
              <w:t>Duration</w:t>
            </w:r>
          </w:p>
        </w:tc>
        <w:tc>
          <w:tcPr>
            <w:tcW w:w="2070" w:type="dxa"/>
            <w:gridSpan w:val="2"/>
            <w:tcBorders>
              <w:left w:val="single" w:sz="4" w:space="0" w:color="000000"/>
              <w:bottom w:val="nil"/>
              <w:right w:val="single" w:sz="4" w:space="0" w:color="000000"/>
            </w:tcBorders>
            <w:shd w:val="clear" w:color="auto" w:fill="D8E4BC"/>
          </w:tcPr>
          <w:p>
            <w:pPr>
              <w:pStyle w:val="TableParagraph"/>
              <w:spacing w:line="255" w:lineRule="exact" w:before="65"/>
              <w:ind w:left="352"/>
              <w:rPr>
                <w:b/>
                <w:sz w:val="24"/>
              </w:rPr>
            </w:pPr>
            <w:r>
              <w:rPr>
                <w:b/>
                <w:sz w:val="24"/>
              </w:rPr>
              <w:t>Wind Speed</w:t>
            </w:r>
          </w:p>
        </w:tc>
        <w:tc>
          <w:tcPr>
            <w:tcW w:w="1840" w:type="dxa"/>
            <w:vMerge w:val="restart"/>
            <w:tcBorders>
              <w:left w:val="single" w:sz="4" w:space="0" w:color="000000"/>
              <w:bottom w:val="single" w:sz="4" w:space="0" w:color="000000"/>
            </w:tcBorders>
            <w:shd w:val="clear" w:color="auto" w:fill="D8E4BC"/>
          </w:tcPr>
          <w:p>
            <w:pPr>
              <w:pStyle w:val="TableParagraph"/>
              <w:spacing w:before="77"/>
              <w:ind w:left="411" w:right="367" w:firstLine="55"/>
              <w:rPr>
                <w:b/>
                <w:sz w:val="24"/>
              </w:rPr>
            </w:pPr>
            <w:r>
              <w:rPr>
                <w:b/>
                <w:sz w:val="24"/>
              </w:rPr>
              <w:t>Relative Humidity</w:t>
            </w:r>
          </w:p>
        </w:tc>
      </w:tr>
      <w:tr>
        <w:trPr>
          <w:trHeight w:val="361" w:hRule="atLeast"/>
        </w:trPr>
        <w:tc>
          <w:tcPr>
            <w:tcW w:w="2873" w:type="dxa"/>
            <w:vMerge/>
            <w:tcBorders>
              <w:top w:val="nil"/>
              <w:bottom w:val="single" w:sz="4" w:space="0" w:color="000000"/>
              <w:right w:val="single" w:sz="4" w:space="0" w:color="000000"/>
            </w:tcBorders>
            <w:shd w:val="clear" w:color="auto" w:fill="D8E4BC"/>
          </w:tcPr>
          <w:p>
            <w:pPr>
              <w:rPr>
                <w:sz w:val="2"/>
                <w:szCs w:val="2"/>
              </w:rPr>
            </w:pPr>
          </w:p>
        </w:tc>
        <w:tc>
          <w:tcPr>
            <w:tcW w:w="2395" w:type="dxa"/>
            <w:vMerge/>
            <w:tcBorders>
              <w:top w:val="nil"/>
              <w:left w:val="single" w:sz="4" w:space="0" w:color="000000"/>
              <w:bottom w:val="single" w:sz="4" w:space="0" w:color="000000"/>
              <w:right w:val="single" w:sz="4" w:space="0" w:color="000000"/>
            </w:tcBorders>
            <w:shd w:val="clear" w:color="auto" w:fill="D8E4BC"/>
          </w:tcPr>
          <w:p>
            <w:pPr>
              <w:rPr>
                <w:sz w:val="2"/>
                <w:szCs w:val="2"/>
              </w:rPr>
            </w:pPr>
          </w:p>
        </w:tc>
        <w:tc>
          <w:tcPr>
            <w:tcW w:w="1034" w:type="dxa"/>
            <w:tcBorders>
              <w:top w:val="nil"/>
              <w:left w:val="single" w:sz="4" w:space="0" w:color="000000"/>
              <w:bottom w:val="single" w:sz="4" w:space="0" w:color="000000"/>
              <w:right w:val="single" w:sz="4" w:space="0" w:color="000000"/>
            </w:tcBorders>
            <w:shd w:val="clear" w:color="auto" w:fill="D8E4BC"/>
          </w:tcPr>
          <w:p>
            <w:pPr>
              <w:pStyle w:val="TableParagraph"/>
              <w:spacing w:line="260" w:lineRule="exact" w:before="82"/>
              <w:ind w:left="160"/>
              <w:rPr>
                <w:sz w:val="24"/>
              </w:rPr>
            </w:pPr>
            <w:r>
              <w:rPr>
                <w:sz w:val="24"/>
              </w:rPr>
              <w:t>RAWS</w:t>
            </w:r>
          </w:p>
        </w:tc>
        <w:tc>
          <w:tcPr>
            <w:tcW w:w="1036" w:type="dxa"/>
            <w:tcBorders>
              <w:top w:val="nil"/>
              <w:left w:val="single" w:sz="4" w:space="0" w:color="000000"/>
              <w:bottom w:val="single" w:sz="4" w:space="0" w:color="000000"/>
              <w:right w:val="single" w:sz="4" w:space="0" w:color="000000"/>
            </w:tcBorders>
            <w:shd w:val="clear" w:color="auto" w:fill="D8E4BC"/>
          </w:tcPr>
          <w:p>
            <w:pPr>
              <w:pStyle w:val="TableParagraph"/>
              <w:spacing w:line="260" w:lineRule="exact" w:before="82"/>
              <w:ind w:left="170" w:right="148"/>
              <w:jc w:val="center"/>
              <w:rPr>
                <w:sz w:val="24"/>
              </w:rPr>
            </w:pPr>
            <w:r>
              <w:rPr>
                <w:sz w:val="24"/>
              </w:rPr>
              <w:t>ASOS</w:t>
            </w:r>
          </w:p>
        </w:tc>
        <w:tc>
          <w:tcPr>
            <w:tcW w:w="1840" w:type="dxa"/>
            <w:vMerge/>
            <w:tcBorders>
              <w:top w:val="nil"/>
              <w:left w:val="single" w:sz="4" w:space="0" w:color="000000"/>
              <w:bottom w:val="single" w:sz="4" w:space="0" w:color="000000"/>
            </w:tcBorders>
            <w:shd w:val="clear" w:color="auto" w:fill="D8E4BC"/>
          </w:tcPr>
          <w:p>
            <w:pPr>
              <w:rPr>
                <w:sz w:val="2"/>
                <w:szCs w:val="2"/>
              </w:rPr>
            </w:pPr>
          </w:p>
        </w:tc>
      </w:tr>
      <w:tr>
        <w:trPr>
          <w:trHeight w:val="503" w:hRule="atLeast"/>
        </w:trPr>
        <w:tc>
          <w:tcPr>
            <w:tcW w:w="2873" w:type="dxa"/>
            <w:tcBorders>
              <w:top w:val="single" w:sz="4" w:space="0" w:color="000000"/>
              <w:bottom w:val="nil"/>
              <w:right w:val="single" w:sz="4" w:space="0" w:color="000000"/>
            </w:tcBorders>
            <w:shd w:val="clear" w:color="auto" w:fill="E4DFEC"/>
          </w:tcPr>
          <w:p>
            <w:pPr>
              <w:pStyle w:val="TableParagraph"/>
              <w:spacing w:line="248" w:lineRule="exact"/>
              <w:ind w:left="105"/>
              <w:rPr>
                <w:b/>
                <w:sz w:val="22"/>
              </w:rPr>
            </w:pPr>
            <w:r>
              <w:rPr>
                <w:b/>
                <w:sz w:val="22"/>
              </w:rPr>
              <w:t>West of the Cascade</w:t>
            </w:r>
          </w:p>
          <w:p>
            <w:pPr>
              <w:pStyle w:val="TableParagraph"/>
              <w:spacing w:line="236" w:lineRule="exact"/>
              <w:ind w:left="105"/>
              <w:rPr>
                <w:b/>
                <w:sz w:val="22"/>
              </w:rPr>
            </w:pPr>
            <w:r>
              <w:rPr>
                <w:b/>
                <w:sz w:val="22"/>
              </w:rPr>
              <w:t>Crest</w:t>
            </w:r>
          </w:p>
        </w:tc>
        <w:tc>
          <w:tcPr>
            <w:tcW w:w="2395" w:type="dxa"/>
            <w:tcBorders>
              <w:top w:val="single" w:sz="4" w:space="0" w:color="000000"/>
              <w:left w:val="single" w:sz="4" w:space="0" w:color="000000"/>
              <w:bottom w:val="nil"/>
              <w:right w:val="single" w:sz="4" w:space="0" w:color="000000"/>
            </w:tcBorders>
            <w:shd w:val="clear" w:color="auto" w:fill="818181"/>
          </w:tcPr>
          <w:p>
            <w:pPr>
              <w:pStyle w:val="TableParagraph"/>
              <w:rPr>
                <w:rFonts w:ascii="Times New Roman"/>
                <w:sz w:val="22"/>
              </w:rPr>
            </w:pPr>
          </w:p>
        </w:tc>
        <w:tc>
          <w:tcPr>
            <w:tcW w:w="1034" w:type="dxa"/>
            <w:tcBorders>
              <w:top w:val="single" w:sz="4" w:space="0" w:color="000000"/>
              <w:left w:val="single" w:sz="4" w:space="0" w:color="000000"/>
              <w:bottom w:val="nil"/>
              <w:right w:val="single" w:sz="4" w:space="0" w:color="000000"/>
            </w:tcBorders>
            <w:shd w:val="clear" w:color="auto" w:fill="818181"/>
          </w:tcPr>
          <w:p>
            <w:pPr>
              <w:pStyle w:val="TableParagraph"/>
              <w:rPr>
                <w:rFonts w:ascii="Times New Roman"/>
                <w:sz w:val="22"/>
              </w:rPr>
            </w:pPr>
          </w:p>
        </w:tc>
        <w:tc>
          <w:tcPr>
            <w:tcW w:w="1036" w:type="dxa"/>
            <w:tcBorders>
              <w:top w:val="single" w:sz="4" w:space="0" w:color="000000"/>
              <w:left w:val="single" w:sz="4" w:space="0" w:color="000000"/>
              <w:bottom w:val="nil"/>
              <w:right w:val="single" w:sz="4" w:space="0" w:color="000000"/>
            </w:tcBorders>
            <w:shd w:val="clear" w:color="auto" w:fill="818181"/>
          </w:tcPr>
          <w:p>
            <w:pPr>
              <w:pStyle w:val="TableParagraph"/>
              <w:rPr>
                <w:rFonts w:ascii="Times New Roman"/>
                <w:sz w:val="22"/>
              </w:rPr>
            </w:pPr>
          </w:p>
        </w:tc>
        <w:tc>
          <w:tcPr>
            <w:tcW w:w="1840" w:type="dxa"/>
            <w:tcBorders>
              <w:top w:val="single" w:sz="4" w:space="0" w:color="000000"/>
              <w:left w:val="single" w:sz="4" w:space="0" w:color="000000"/>
              <w:bottom w:val="nil"/>
            </w:tcBorders>
            <w:shd w:val="clear" w:color="auto" w:fill="818181"/>
          </w:tcPr>
          <w:p>
            <w:pPr>
              <w:pStyle w:val="TableParagraph"/>
              <w:rPr>
                <w:rFonts w:ascii="Times New Roman"/>
                <w:sz w:val="22"/>
              </w:rPr>
            </w:pPr>
          </w:p>
        </w:tc>
      </w:tr>
      <w:tr>
        <w:trPr>
          <w:trHeight w:val="506" w:hRule="atLeast"/>
        </w:trPr>
        <w:tc>
          <w:tcPr>
            <w:tcW w:w="2873" w:type="dxa"/>
            <w:tcBorders>
              <w:top w:val="nil"/>
              <w:bottom w:val="nil"/>
              <w:right w:val="single" w:sz="4" w:space="0" w:color="000000"/>
            </w:tcBorders>
            <w:shd w:val="clear" w:color="auto" w:fill="E4DFEC"/>
          </w:tcPr>
          <w:p>
            <w:pPr>
              <w:pStyle w:val="TableParagraph"/>
              <w:spacing w:before="125"/>
              <w:ind w:left="112"/>
              <w:rPr>
                <w:sz w:val="22"/>
              </w:rPr>
            </w:pPr>
            <w:r>
              <w:rPr>
                <w:sz w:val="22"/>
              </w:rPr>
              <w:t>Daytime (9 am to midnight)</w:t>
            </w:r>
          </w:p>
        </w:tc>
        <w:tc>
          <w:tcPr>
            <w:tcW w:w="2395" w:type="dxa"/>
            <w:tcBorders>
              <w:top w:val="nil"/>
              <w:left w:val="single" w:sz="4" w:space="0" w:color="000000"/>
              <w:bottom w:val="nil"/>
              <w:right w:val="single" w:sz="4" w:space="0" w:color="000000"/>
            </w:tcBorders>
            <w:shd w:val="clear" w:color="auto" w:fill="E4DFEC"/>
          </w:tcPr>
          <w:p>
            <w:pPr>
              <w:pStyle w:val="TableParagraph"/>
              <w:spacing w:line="254" w:lineRule="exact" w:before="1"/>
              <w:ind w:left="945" w:right="117" w:hanging="795"/>
              <w:rPr>
                <w:sz w:val="22"/>
              </w:rPr>
            </w:pPr>
            <w:r>
              <w:rPr>
                <w:sz w:val="22"/>
              </w:rPr>
              <w:t>4+ hours in an 8-hour block</w:t>
            </w:r>
          </w:p>
        </w:tc>
        <w:tc>
          <w:tcPr>
            <w:tcW w:w="1034" w:type="dxa"/>
            <w:tcBorders>
              <w:top w:val="nil"/>
              <w:left w:val="single" w:sz="4" w:space="0" w:color="000000"/>
              <w:bottom w:val="nil"/>
              <w:right w:val="single" w:sz="4" w:space="0" w:color="000000"/>
            </w:tcBorders>
            <w:shd w:val="clear" w:color="auto" w:fill="E4DFEC"/>
          </w:tcPr>
          <w:p>
            <w:pPr>
              <w:pStyle w:val="TableParagraph"/>
              <w:spacing w:line="251" w:lineRule="exact"/>
              <w:ind w:left="304"/>
              <w:rPr>
                <w:sz w:val="22"/>
              </w:rPr>
            </w:pPr>
            <w:r>
              <w:rPr>
                <w:sz w:val="22"/>
              </w:rPr>
              <w:t>&gt; 10</w:t>
            </w:r>
          </w:p>
          <w:p>
            <w:pPr>
              <w:pStyle w:val="TableParagraph"/>
              <w:spacing w:line="234" w:lineRule="exact" w:before="1"/>
              <w:ind w:left="306"/>
              <w:rPr>
                <w:sz w:val="22"/>
              </w:rPr>
            </w:pPr>
            <w:r>
              <w:rPr>
                <w:sz w:val="22"/>
              </w:rPr>
              <w:t>mph</w:t>
            </w:r>
          </w:p>
        </w:tc>
        <w:tc>
          <w:tcPr>
            <w:tcW w:w="1036" w:type="dxa"/>
            <w:tcBorders>
              <w:top w:val="nil"/>
              <w:left w:val="single" w:sz="4" w:space="0" w:color="000000"/>
              <w:bottom w:val="nil"/>
              <w:right w:val="single" w:sz="4" w:space="0" w:color="000000"/>
            </w:tcBorders>
            <w:shd w:val="clear" w:color="auto" w:fill="E4DFEC"/>
          </w:tcPr>
          <w:p>
            <w:pPr>
              <w:pStyle w:val="TableParagraph"/>
              <w:spacing w:line="251" w:lineRule="exact"/>
              <w:ind w:left="305"/>
              <w:rPr>
                <w:sz w:val="22"/>
              </w:rPr>
            </w:pPr>
            <w:r>
              <w:rPr>
                <w:sz w:val="22"/>
              </w:rPr>
              <w:t>&gt; 12</w:t>
            </w:r>
          </w:p>
          <w:p>
            <w:pPr>
              <w:pStyle w:val="TableParagraph"/>
              <w:spacing w:line="234" w:lineRule="exact" w:before="1"/>
              <w:ind w:left="309"/>
              <w:rPr>
                <w:sz w:val="22"/>
              </w:rPr>
            </w:pPr>
            <w:r>
              <w:rPr>
                <w:sz w:val="22"/>
              </w:rPr>
              <w:t>mph</w:t>
            </w:r>
          </w:p>
        </w:tc>
        <w:tc>
          <w:tcPr>
            <w:tcW w:w="1840" w:type="dxa"/>
            <w:tcBorders>
              <w:top w:val="nil"/>
              <w:left w:val="single" w:sz="4" w:space="0" w:color="000000"/>
              <w:bottom w:val="nil"/>
            </w:tcBorders>
            <w:shd w:val="clear" w:color="auto" w:fill="E4DFEC"/>
          </w:tcPr>
          <w:p>
            <w:pPr>
              <w:pStyle w:val="TableParagraph"/>
              <w:spacing w:before="125"/>
              <w:ind w:left="526" w:right="500"/>
              <w:jc w:val="center"/>
              <w:rPr>
                <w:sz w:val="22"/>
              </w:rPr>
            </w:pPr>
            <w:r>
              <w:rPr>
                <w:sz w:val="22"/>
              </w:rPr>
              <w:t>&lt;= 30%</w:t>
            </w:r>
          </w:p>
        </w:tc>
      </w:tr>
      <w:tr>
        <w:trPr>
          <w:trHeight w:val="503" w:hRule="atLeast"/>
        </w:trPr>
        <w:tc>
          <w:tcPr>
            <w:tcW w:w="2873" w:type="dxa"/>
            <w:tcBorders>
              <w:top w:val="nil"/>
              <w:bottom w:val="single" w:sz="4" w:space="0" w:color="000000"/>
              <w:right w:val="single" w:sz="4" w:space="0" w:color="000000"/>
            </w:tcBorders>
            <w:shd w:val="clear" w:color="auto" w:fill="CCC0DA"/>
          </w:tcPr>
          <w:p>
            <w:pPr>
              <w:pStyle w:val="TableParagraph"/>
              <w:spacing w:line="248" w:lineRule="exact"/>
              <w:ind w:left="251" w:right="242"/>
              <w:jc w:val="center"/>
              <w:rPr>
                <w:sz w:val="22"/>
              </w:rPr>
            </w:pPr>
            <w:r>
              <w:rPr>
                <w:sz w:val="22"/>
              </w:rPr>
              <w:t>Nighttime (midnight to 9</w:t>
            </w:r>
          </w:p>
          <w:p>
            <w:pPr>
              <w:pStyle w:val="TableParagraph"/>
              <w:spacing w:line="234" w:lineRule="exact" w:before="1"/>
              <w:ind w:left="250" w:right="242"/>
              <w:jc w:val="center"/>
              <w:rPr>
                <w:sz w:val="22"/>
              </w:rPr>
            </w:pPr>
            <w:r>
              <w:rPr>
                <w:sz w:val="22"/>
              </w:rPr>
              <w:t>am)</w:t>
            </w:r>
          </w:p>
        </w:tc>
        <w:tc>
          <w:tcPr>
            <w:tcW w:w="2395" w:type="dxa"/>
            <w:tcBorders>
              <w:top w:val="nil"/>
              <w:left w:val="single" w:sz="4" w:space="0" w:color="000000"/>
              <w:bottom w:val="single" w:sz="4" w:space="0" w:color="000000"/>
              <w:right w:val="single" w:sz="4" w:space="0" w:color="000000"/>
            </w:tcBorders>
            <w:shd w:val="clear" w:color="auto" w:fill="CCC0DA"/>
          </w:tcPr>
          <w:p>
            <w:pPr>
              <w:pStyle w:val="TableParagraph"/>
              <w:spacing w:before="122"/>
              <w:ind w:left="138" w:right="120"/>
              <w:jc w:val="center"/>
              <w:rPr>
                <w:sz w:val="22"/>
              </w:rPr>
            </w:pPr>
            <w:r>
              <w:rPr>
                <w:sz w:val="22"/>
              </w:rPr>
              <w:t>5+ consecutive hours</w:t>
            </w:r>
          </w:p>
        </w:tc>
        <w:tc>
          <w:tcPr>
            <w:tcW w:w="1034" w:type="dxa"/>
            <w:tcBorders>
              <w:top w:val="nil"/>
              <w:left w:val="single" w:sz="4" w:space="0" w:color="000000"/>
              <w:bottom w:val="single" w:sz="4" w:space="0" w:color="000000"/>
              <w:right w:val="single" w:sz="4" w:space="0" w:color="000000"/>
            </w:tcBorders>
            <w:shd w:val="clear" w:color="auto" w:fill="CCC0DA"/>
          </w:tcPr>
          <w:p>
            <w:pPr>
              <w:pStyle w:val="TableParagraph"/>
              <w:spacing w:line="248" w:lineRule="exact"/>
              <w:ind w:left="239"/>
              <w:rPr>
                <w:sz w:val="22"/>
              </w:rPr>
            </w:pPr>
            <w:r>
              <w:rPr>
                <w:sz w:val="22"/>
              </w:rPr>
              <w:t>&gt;= 10</w:t>
            </w:r>
          </w:p>
          <w:p>
            <w:pPr>
              <w:pStyle w:val="TableParagraph"/>
              <w:spacing w:line="234" w:lineRule="exact" w:before="1"/>
              <w:ind w:left="306"/>
              <w:rPr>
                <w:sz w:val="22"/>
              </w:rPr>
            </w:pPr>
            <w:r>
              <w:rPr>
                <w:sz w:val="22"/>
              </w:rPr>
              <w:t>mph</w:t>
            </w:r>
          </w:p>
        </w:tc>
        <w:tc>
          <w:tcPr>
            <w:tcW w:w="1036" w:type="dxa"/>
            <w:tcBorders>
              <w:top w:val="nil"/>
              <w:left w:val="single" w:sz="4" w:space="0" w:color="000000"/>
              <w:bottom w:val="single" w:sz="4" w:space="0" w:color="000000"/>
              <w:right w:val="single" w:sz="4" w:space="0" w:color="000000"/>
            </w:tcBorders>
            <w:shd w:val="clear" w:color="auto" w:fill="CCC0DA"/>
          </w:tcPr>
          <w:p>
            <w:pPr>
              <w:pStyle w:val="TableParagraph"/>
              <w:spacing w:line="248" w:lineRule="exact"/>
              <w:ind w:left="240"/>
              <w:rPr>
                <w:sz w:val="22"/>
              </w:rPr>
            </w:pPr>
            <w:r>
              <w:rPr>
                <w:sz w:val="22"/>
              </w:rPr>
              <w:t>&gt;= 12</w:t>
            </w:r>
          </w:p>
          <w:p>
            <w:pPr>
              <w:pStyle w:val="TableParagraph"/>
              <w:spacing w:line="234" w:lineRule="exact" w:before="1"/>
              <w:ind w:left="309"/>
              <w:rPr>
                <w:sz w:val="22"/>
              </w:rPr>
            </w:pPr>
            <w:r>
              <w:rPr>
                <w:sz w:val="22"/>
              </w:rPr>
              <w:t>mph</w:t>
            </w:r>
          </w:p>
        </w:tc>
        <w:tc>
          <w:tcPr>
            <w:tcW w:w="1840" w:type="dxa"/>
            <w:tcBorders>
              <w:top w:val="nil"/>
              <w:left w:val="single" w:sz="4" w:space="0" w:color="000000"/>
              <w:bottom w:val="single" w:sz="4" w:space="0" w:color="000000"/>
            </w:tcBorders>
            <w:shd w:val="clear" w:color="auto" w:fill="CCC0DA"/>
          </w:tcPr>
          <w:p>
            <w:pPr>
              <w:pStyle w:val="TableParagraph"/>
              <w:spacing w:before="122"/>
              <w:ind w:left="526" w:right="500"/>
              <w:jc w:val="center"/>
              <w:rPr>
                <w:sz w:val="22"/>
              </w:rPr>
            </w:pPr>
            <w:r>
              <w:rPr>
                <w:sz w:val="22"/>
              </w:rPr>
              <w:t>&lt;= 35%</w:t>
            </w:r>
          </w:p>
        </w:tc>
      </w:tr>
      <w:tr>
        <w:trPr>
          <w:trHeight w:val="505" w:hRule="atLeast"/>
        </w:trPr>
        <w:tc>
          <w:tcPr>
            <w:tcW w:w="2873" w:type="dxa"/>
            <w:tcBorders>
              <w:top w:val="single" w:sz="4" w:space="0" w:color="000000"/>
              <w:right w:val="single" w:sz="4" w:space="0" w:color="000000"/>
            </w:tcBorders>
            <w:shd w:val="clear" w:color="auto" w:fill="F2DCDB"/>
          </w:tcPr>
          <w:p>
            <w:pPr>
              <w:pStyle w:val="TableParagraph"/>
              <w:spacing w:line="248" w:lineRule="exact"/>
              <w:ind w:left="105"/>
              <w:rPr>
                <w:b/>
                <w:sz w:val="22"/>
              </w:rPr>
            </w:pPr>
            <w:r>
              <w:rPr>
                <w:b/>
                <w:sz w:val="22"/>
              </w:rPr>
              <w:t>Zone 662, Eastside Zone</w:t>
            </w:r>
          </w:p>
          <w:p>
            <w:pPr>
              <w:pStyle w:val="TableParagraph"/>
              <w:spacing w:line="234" w:lineRule="exact" w:before="4"/>
              <w:ind w:left="105"/>
              <w:rPr>
                <w:sz w:val="22"/>
              </w:rPr>
            </w:pPr>
            <w:r>
              <w:rPr>
                <w:sz w:val="22"/>
              </w:rPr>
              <w:t>(Very Rare)</w:t>
            </w:r>
          </w:p>
        </w:tc>
        <w:tc>
          <w:tcPr>
            <w:tcW w:w="2395" w:type="dxa"/>
            <w:tcBorders>
              <w:top w:val="single" w:sz="4" w:space="0" w:color="000000"/>
              <w:left w:val="single" w:sz="4" w:space="0" w:color="000000"/>
              <w:right w:val="single" w:sz="4" w:space="0" w:color="000000"/>
            </w:tcBorders>
            <w:shd w:val="clear" w:color="auto" w:fill="F2DCDB"/>
          </w:tcPr>
          <w:p>
            <w:pPr>
              <w:pStyle w:val="TableParagraph"/>
              <w:spacing w:before="124"/>
              <w:ind w:left="138" w:right="120"/>
              <w:jc w:val="center"/>
              <w:rPr>
                <w:sz w:val="22"/>
              </w:rPr>
            </w:pPr>
            <w:r>
              <w:rPr>
                <w:sz w:val="22"/>
              </w:rPr>
              <w:t>4+ hours</w:t>
            </w:r>
          </w:p>
        </w:tc>
        <w:tc>
          <w:tcPr>
            <w:tcW w:w="1034" w:type="dxa"/>
            <w:tcBorders>
              <w:top w:val="single" w:sz="4" w:space="0" w:color="000000"/>
              <w:left w:val="single" w:sz="4" w:space="0" w:color="000000"/>
              <w:right w:val="single" w:sz="4" w:space="0" w:color="000000"/>
            </w:tcBorders>
            <w:shd w:val="clear" w:color="auto" w:fill="F2DCDB"/>
          </w:tcPr>
          <w:p>
            <w:pPr>
              <w:pStyle w:val="TableParagraph"/>
              <w:spacing w:line="250" w:lineRule="exact"/>
              <w:ind w:left="268"/>
              <w:rPr>
                <w:sz w:val="22"/>
              </w:rPr>
            </w:pPr>
            <w:r>
              <w:rPr>
                <w:sz w:val="22"/>
              </w:rPr>
              <w:t>&gt;=15</w:t>
            </w:r>
          </w:p>
          <w:p>
            <w:pPr>
              <w:pStyle w:val="TableParagraph"/>
              <w:spacing w:line="234" w:lineRule="exact" w:before="1"/>
              <w:ind w:left="306"/>
              <w:rPr>
                <w:sz w:val="22"/>
              </w:rPr>
            </w:pPr>
            <w:r>
              <w:rPr>
                <w:sz w:val="22"/>
              </w:rPr>
              <w:t>mph</w:t>
            </w:r>
          </w:p>
        </w:tc>
        <w:tc>
          <w:tcPr>
            <w:tcW w:w="1036" w:type="dxa"/>
            <w:tcBorders>
              <w:top w:val="single" w:sz="4" w:space="0" w:color="000000"/>
              <w:left w:val="single" w:sz="4" w:space="0" w:color="000000"/>
              <w:right w:val="single" w:sz="4" w:space="0" w:color="000000"/>
            </w:tcBorders>
            <w:shd w:val="clear" w:color="auto" w:fill="F2DCDB"/>
          </w:tcPr>
          <w:p>
            <w:pPr>
              <w:pStyle w:val="TableParagraph"/>
              <w:spacing w:before="124"/>
              <w:ind w:left="167" w:right="148"/>
              <w:jc w:val="center"/>
              <w:rPr>
                <w:sz w:val="22"/>
              </w:rPr>
            </w:pPr>
            <w:r>
              <w:rPr>
                <w:sz w:val="22"/>
              </w:rPr>
              <w:t>N/A</w:t>
            </w:r>
          </w:p>
        </w:tc>
        <w:tc>
          <w:tcPr>
            <w:tcW w:w="1840" w:type="dxa"/>
            <w:tcBorders>
              <w:top w:val="single" w:sz="4" w:space="0" w:color="000000"/>
              <w:left w:val="single" w:sz="4" w:space="0" w:color="000000"/>
            </w:tcBorders>
            <w:shd w:val="clear" w:color="auto" w:fill="F2DCDB"/>
          </w:tcPr>
          <w:p>
            <w:pPr>
              <w:pStyle w:val="TableParagraph"/>
              <w:spacing w:before="124"/>
              <w:ind w:left="526" w:right="500"/>
              <w:jc w:val="center"/>
              <w:rPr>
                <w:sz w:val="22"/>
              </w:rPr>
            </w:pPr>
            <w:r>
              <w:rPr>
                <w:sz w:val="22"/>
              </w:rPr>
              <w:t>&lt;= 25%</w:t>
            </w:r>
          </w:p>
        </w:tc>
      </w:tr>
    </w:tbl>
    <w:p>
      <w:pPr>
        <w:spacing w:before="74"/>
        <w:ind w:left="2016" w:right="0" w:firstLine="0"/>
        <w:jc w:val="left"/>
        <w:rPr>
          <w:sz w:val="22"/>
        </w:rPr>
      </w:pPr>
      <w:r>
        <w:rPr>
          <w:sz w:val="22"/>
        </w:rPr>
        <w:t>Note: Wind and RH conditions must occur concurrently to meet Red Flag criteria</w:t>
      </w:r>
    </w:p>
    <w:p>
      <w:pPr>
        <w:pStyle w:val="BodyText"/>
        <w:spacing w:before="11"/>
        <w:rPr>
          <w:sz w:val="15"/>
        </w:rPr>
      </w:pPr>
    </w:p>
    <w:p>
      <w:pPr>
        <w:pStyle w:val="BodyText"/>
        <w:spacing w:before="92"/>
        <w:ind w:left="2100"/>
      </w:pPr>
      <w:r>
        <w:rPr/>
        <w:t>“Moderate Breeze and Low Humidity” events should be fairly widespread in</w:t>
      </w:r>
    </w:p>
    <w:p>
      <w:pPr>
        <w:spacing w:after="0"/>
        <w:sectPr>
          <w:pgSz w:w="12240" w:h="15840"/>
          <w:pgMar w:header="0" w:footer="968" w:top="1500" w:bottom="1240" w:left="340" w:right="620"/>
        </w:sectPr>
      </w:pPr>
    </w:p>
    <w:p>
      <w:pPr>
        <w:pStyle w:val="BodyText"/>
        <w:spacing w:before="76"/>
        <w:ind w:left="2100" w:right="1238"/>
        <w:jc w:val="both"/>
      </w:pPr>
      <w:r>
        <w:rPr/>
        <w:t>both time and space across a Fire Weather Zone, in contrast to an isolated occurrence that affects a small area or lasts a short time. Verifying stations for Wind/RH episodes are described in </w:t>
      </w:r>
      <w:hyperlink w:history="true" w:anchor="_bookmark16">
        <w:r>
          <w:rPr>
            <w:color w:val="0000FF"/>
            <w:u w:val="single" w:color="0000FF"/>
          </w:rPr>
          <w:t>Appendix 3</w:t>
        </w:r>
      </w:hyperlink>
      <w:r>
        <w:rPr/>
        <w:t>.</w:t>
      </w:r>
    </w:p>
    <w:p>
      <w:pPr>
        <w:pStyle w:val="BodyText"/>
        <w:rPr>
          <w:sz w:val="16"/>
        </w:rPr>
      </w:pPr>
    </w:p>
    <w:p>
      <w:pPr>
        <w:pStyle w:val="Heading8"/>
        <w:spacing w:before="92"/>
        <w:ind w:left="2100"/>
      </w:pPr>
      <w:r>
        <w:rPr/>
        <w:t>Lightning</w:t>
      </w:r>
    </w:p>
    <w:p>
      <w:pPr>
        <w:pStyle w:val="BodyText"/>
        <w:rPr>
          <w:b/>
        </w:rPr>
      </w:pPr>
    </w:p>
    <w:p>
      <w:pPr>
        <w:pStyle w:val="BodyText"/>
        <w:ind w:left="2100" w:right="1065"/>
      </w:pPr>
      <w:r>
        <w:rPr/>
        <w:t>Weather Criteria for lightning is defined as “abundant lightning, either wet or dry, within a Fire Weather Zone”. The thunderstorm activity should be at least scattered (25+% aerial coverage) or greater within a particular zone; the forecast LAL will usually be 3 or higher. Forecasters are given discretion to issue with LAL 2 when fuels are extremely dry, e.g. exceed 97</w:t>
      </w:r>
      <w:r>
        <w:rPr>
          <w:vertAlign w:val="superscript"/>
        </w:rPr>
        <w:t>th</w:t>
      </w:r>
      <w:r>
        <w:rPr>
          <w:vertAlign w:val="baseline"/>
        </w:rPr>
        <w:t> percentile ERC.</w:t>
      </w:r>
    </w:p>
    <w:p>
      <w:pPr>
        <w:pStyle w:val="BodyText"/>
      </w:pPr>
    </w:p>
    <w:p>
      <w:pPr>
        <w:pStyle w:val="BodyText"/>
        <w:ind w:left="2100" w:right="1569"/>
      </w:pPr>
      <w:r>
        <w:rPr/>
        <w:t>Forecasters are given discretion to view it as a </w:t>
      </w:r>
      <w:r>
        <w:rPr>
          <w:color w:val="006600"/>
        </w:rPr>
        <w:t>negative </w:t>
      </w:r>
      <w:r>
        <w:rPr/>
        <w:t>consideration if excessive rainfall amounts are expected, e.g. greater than ~ ¾”.</w:t>
      </w:r>
    </w:p>
    <w:p>
      <w:pPr>
        <w:pStyle w:val="BodyText"/>
      </w:pPr>
    </w:p>
    <w:p>
      <w:pPr>
        <w:pStyle w:val="BodyText"/>
        <w:spacing w:before="1"/>
        <w:ind w:left="2100" w:right="1102"/>
      </w:pPr>
      <w:r>
        <w:rPr/>
        <w:t>By the same token, forecasters are given discretion to view it as a </w:t>
      </w:r>
      <w:r>
        <w:rPr>
          <w:color w:val="C00000"/>
        </w:rPr>
        <w:t>positive </w:t>
      </w:r>
      <w:r>
        <w:rPr/>
        <w:t>consideration if lightning will be followed the next day by warm, dry weather.</w:t>
      </w:r>
    </w:p>
    <w:p>
      <w:pPr>
        <w:pStyle w:val="BodyText"/>
        <w:rPr>
          <w:sz w:val="26"/>
        </w:rPr>
      </w:pPr>
    </w:p>
    <w:p>
      <w:pPr>
        <w:pStyle w:val="BodyText"/>
        <w:spacing w:before="9"/>
        <w:rPr>
          <w:sz w:val="21"/>
        </w:rPr>
      </w:pPr>
    </w:p>
    <w:p>
      <w:pPr>
        <w:pStyle w:val="Heading8"/>
        <w:ind w:left="2100"/>
      </w:pPr>
      <w:r>
        <w:rPr/>
        <w:t>Very Dry and Unstable Air Mass</w:t>
      </w:r>
    </w:p>
    <w:p>
      <w:pPr>
        <w:pStyle w:val="BodyText"/>
        <w:spacing w:before="1"/>
        <w:rPr>
          <w:b/>
          <w:sz w:val="20"/>
        </w:rPr>
      </w:pPr>
      <w:r>
        <w:rPr/>
        <w:pict>
          <v:group style="position:absolute;margin-left:126.120003pt;margin-top:14.01917pt;width:337.95pt;height:142.2pt;mso-position-horizontal-relative:page;mso-position-vertical-relative:paragraph;z-index:1744;mso-wrap-distance-left:0;mso-wrap-distance-right:0" coordorigin="2522,280" coordsize="6759,2844">
            <v:rect style="position:absolute;left:2539;top:301;width:1925;height:759" filled="true" fillcolor="#d8e4bc" stroked="false">
              <v:fill type="solid"/>
            </v:rect>
            <v:rect style="position:absolute;left:2637;top:553;width:1724;height:255" filled="true" fillcolor="#d8e4bc" stroked="false">
              <v:fill type="solid"/>
            </v:rect>
            <v:rect style="position:absolute;left:4471;top:301;width:2619;height:300" filled="true" fillcolor="#d8e4bc" stroked="false">
              <v:fill type="solid"/>
            </v:rect>
            <v:rect style="position:absolute;left:4576;top:347;width:2405;height:255" filled="true" fillcolor="#d8e4bc" stroked="false">
              <v:fill type="solid"/>
            </v:rect>
            <v:rect style="position:absolute;left:7094;top:301;width:951;height:759" filled="true" fillcolor="#d8e4bc" stroked="false">
              <v:fill type="solid"/>
            </v:rect>
            <v:rect style="position:absolute;left:7197;top:553;width:744;height:255" filled="true" fillcolor="#d8e4bc" stroked="false">
              <v:fill type="solid"/>
            </v:rect>
            <v:rect style="position:absolute;left:8049;top:301;width:1210;height:759" filled="true" fillcolor="#d8e4bc" stroked="false">
              <v:fill type="solid"/>
            </v:rect>
            <v:rect style="position:absolute;left:8157;top:301;width:1004;height:252" filled="true" fillcolor="#d8e4bc" stroked="false">
              <v:fill type="solid"/>
            </v:rect>
            <v:rect style="position:absolute;left:8157;top:553;width:1004;height:255" filled="true" fillcolor="#d8e4bc" stroked="false">
              <v:fill type="solid"/>
            </v:rect>
            <v:rect style="position:absolute;left:8157;top:808;width:1004;height:252" filled="true" fillcolor="#d8e4bc" stroked="false">
              <v:fill type="solid"/>
            </v:rect>
            <v:rect style="position:absolute;left:2541;top:280;width:1925;height:20" filled="true" fillcolor="#000000" stroked="false">
              <v:fill type="solid"/>
            </v:rect>
            <v:rect style="position:absolute;left:4466;top:280;width:20;height:20" filled="true" fillcolor="#000000" stroked="false">
              <v:fill type="solid"/>
            </v:rect>
            <v:rect style="position:absolute;left:4485;top:280;width:2602;height:20" filled="true" fillcolor="#000000" stroked="false">
              <v:fill type="solid"/>
            </v:rect>
            <v:rect style="position:absolute;left:7087;top:280;width:20;height:20" filled="true" fillcolor="#000000" stroked="false">
              <v:fill type="solid"/>
            </v:rect>
            <v:rect style="position:absolute;left:7106;top:280;width:941;height:20" filled="true" fillcolor="#000000" stroked="false">
              <v:fill type="solid"/>
            </v:rect>
            <v:rect style="position:absolute;left:8047;top:280;width:20;height:20" filled="true" fillcolor="#000000" stroked="false">
              <v:fill type="solid"/>
            </v:rect>
            <v:rect style="position:absolute;left:8066;top:280;width:1196;height:20" filled="true" fillcolor="#000000" stroked="false">
              <v:fill type="solid"/>
            </v:rect>
            <v:rect style="position:absolute;left:4471;top:621;width:1275;height:440" filled="true" fillcolor="#d8e4bc" stroked="false">
              <v:fill type="solid"/>
            </v:rect>
            <v:rect style="position:absolute;left:4576;top:808;width:1061;height:252" filled="true" fillcolor="#d8e4bc" stroked="false">
              <v:fill type="solid"/>
            </v:rect>
            <v:rect style="position:absolute;left:5745;top:621;width:1344;height:440" filled="true" fillcolor="#d8e4bc" stroked="false">
              <v:fill type="solid"/>
            </v:rect>
            <v:rect style="position:absolute;left:5853;top:808;width:1128;height:252" filled="true" fillcolor="#d8e4bc" stroked="false">
              <v:fill type="solid"/>
            </v:rect>
            <v:rect style="position:absolute;left:4476;top:602;width:1270;height:20" filled="true" fillcolor="#d8e4bc" stroked="false">
              <v:fill type="solid"/>
            </v:rect>
            <v:rect style="position:absolute;left:5745;top:602;width:1342;height:20" filled="true" fillcolor="#d8e4bc" stroked="false">
              <v:fill type="solid"/>
            </v:rect>
            <v:line style="position:absolute" from="7092,300" to="7092,1060" stroked="true" strokeweight=".481pt" strokecolor="#a7a8a7">
              <v:stroke dashstyle="solid"/>
            </v:line>
            <v:line style="position:absolute" from="8052,300" to="8052,1070" stroked="true" strokeweight=".48pt" strokecolor="#a7a8a7">
              <v:stroke dashstyle="solid"/>
            </v:line>
            <v:rect style="position:absolute;left:2539;top:1069;width:1932;height:507" filled="true" fillcolor="#ccc0da" stroked="false">
              <v:fill type="solid"/>
            </v:rect>
            <v:rect style="position:absolute;left:2637;top:1069;width:1724;height:255" filled="true" fillcolor="#ccc0da" stroked="false">
              <v:fill type="solid"/>
            </v:rect>
            <v:rect style="position:absolute;left:2637;top:1324;width:1724;height:252" filled="true" fillcolor="#ccc0da" stroked="false">
              <v:fill type="solid"/>
            </v:rect>
            <v:rect style="position:absolute;left:4476;top:1069;width:1270;height:507" filled="true" fillcolor="#a7a8a7" stroked="false">
              <v:fill type="solid"/>
            </v:rect>
            <v:rect style="position:absolute;left:4576;top:1324;width:1061;height:252" filled="true" fillcolor="#a7a8a7" stroked="false">
              <v:fill type="solid"/>
            </v:rect>
            <v:rect style="position:absolute;left:5745;top:1069;width:1344;height:507" filled="true" fillcolor="#a7a8a7" stroked="false">
              <v:fill type="solid"/>
            </v:rect>
            <v:rect style="position:absolute;left:5853;top:1324;width:1128;height:252" filled="true" fillcolor="#a7a8a7" stroked="false">
              <v:fill type="solid"/>
            </v:rect>
            <v:rect style="position:absolute;left:7089;top:1069;width:960;height:507" filled="true" fillcolor="#a7a8a7" stroked="false">
              <v:fill type="solid"/>
            </v:rect>
            <v:rect style="position:absolute;left:7197;top:1324;width:744;height:252" filled="true" fillcolor="#a7a8a7" stroked="false">
              <v:fill type="solid"/>
            </v:rect>
            <v:rect style="position:absolute;left:8049;top:1069;width:1210;height:507" filled="true" fillcolor="#a7a8a7" stroked="false">
              <v:fill type="solid"/>
            </v:rect>
            <v:rect style="position:absolute;left:8157;top:1324;width:1004;height:252" filled="true" fillcolor="#a7a8a7" stroked="false">
              <v:fill type="solid"/>
            </v:rect>
            <v:line style="position:absolute" from="2542,1065" to="4466,1065" stroked="true" strokeweight=".481pt" strokecolor="#000000">
              <v:stroke dashstyle="solid"/>
            </v:line>
            <v:rect style="position:absolute;left:4466;top:1060;width:10;height:10" filled="true" fillcolor="#000000" stroked="false">
              <v:fill type="solid"/>
            </v:rect>
            <v:line style="position:absolute" from="4476,1065" to="5746,1065" stroked="true" strokeweight=".481pt" strokecolor="#000000">
              <v:stroke dashstyle="solid"/>
            </v:line>
            <v:rect style="position:absolute;left:5745;top:1060;width:10;height:10" filled="true" fillcolor="#000000" stroked="false">
              <v:fill type="solid"/>
            </v:rect>
            <v:line style="position:absolute" from="5755,1065" to="7087,1065" stroked="true" strokeweight=".481pt" strokecolor="#000000">
              <v:stroke dashstyle="solid"/>
            </v:line>
            <v:rect style="position:absolute;left:7087;top:1060;width:10;height:10" filled="true" fillcolor="#000000" stroked="false">
              <v:fill type="solid"/>
            </v:rect>
            <v:rect style="position:absolute;left:7096;top:1060;width:10;height:10" filled="true" fillcolor="#000000" stroked="false">
              <v:fill type="solid"/>
            </v:rect>
            <v:line style="position:absolute" from="7106,1065" to="8047,1065" stroked="true" strokeweight=".481pt" strokecolor="#000000">
              <v:stroke dashstyle="solid"/>
            </v:line>
            <v:rect style="position:absolute;left:8047;top:1060;width:10;height:10" filled="true" fillcolor="#000000" stroked="false">
              <v:fill type="solid"/>
            </v:rect>
            <v:line style="position:absolute" from="8057,1065" to="9262,1065" stroked="true" strokeweight=".481pt" strokecolor="#000000">
              <v:stroke dashstyle="solid"/>
            </v:line>
            <v:rect style="position:absolute;left:2539;top:1576;width:1932;height:507" filled="true" fillcolor="#ccc0da" stroked="false">
              <v:fill type="solid"/>
            </v:rect>
            <v:rect style="position:absolute;left:2637;top:1828;width:1724;height:255" filled="true" fillcolor="#ccc0da" stroked="false">
              <v:fill type="solid"/>
            </v:rect>
            <v:rect style="position:absolute;left:4476;top:1576;width:1270;height:507" filled="true" fillcolor="#ccc0da" stroked="false">
              <v:fill type="solid"/>
            </v:rect>
            <v:rect style="position:absolute;left:4576;top:1828;width:1061;height:255" filled="true" fillcolor="#ccc0da" stroked="false">
              <v:fill type="solid"/>
            </v:rect>
            <v:rect style="position:absolute;left:5745;top:1576;width:1344;height:507" filled="true" fillcolor="#a7a8a7" stroked="false">
              <v:fill type="solid"/>
            </v:rect>
            <v:rect style="position:absolute;left:5853;top:1828;width:1128;height:255" filled="true" fillcolor="#a7a8a7" stroked="false">
              <v:fill type="solid"/>
            </v:rect>
            <v:rect style="position:absolute;left:7089;top:1576;width:960;height:507" filled="true" fillcolor="#ccc0da" stroked="false">
              <v:fill type="solid"/>
            </v:rect>
            <v:rect style="position:absolute;left:7197;top:1576;width:744;height:252" filled="true" fillcolor="#ccc0da" stroked="false">
              <v:fill type="solid"/>
            </v:rect>
            <v:rect style="position:absolute;left:7197;top:1828;width:744;height:255" filled="true" fillcolor="#ccc0da" stroked="false">
              <v:fill type="solid"/>
            </v:rect>
            <v:rect style="position:absolute;left:8049;top:1576;width:1210;height:507" filled="true" fillcolor="#ccc0da" stroked="false">
              <v:fill type="solid"/>
            </v:rect>
            <v:rect style="position:absolute;left:8157;top:1828;width:1004;height:255" filled="true" fillcolor="#ccc0da" stroked="false">
              <v:fill type="solid"/>
            </v:rect>
            <v:rect style="position:absolute;left:2539;top:2082;width:1932;height:507" filled="true" fillcolor="#ccc0da" stroked="false">
              <v:fill type="solid"/>
            </v:rect>
            <v:rect style="position:absolute;left:2637;top:2334;width:1724;height:255" filled="true" fillcolor="#ccc0da" stroked="false">
              <v:fill type="solid"/>
            </v:rect>
            <v:rect style="position:absolute;left:4476;top:2082;width:1270;height:507" filled="true" fillcolor="#ccc0da" stroked="false">
              <v:fill type="solid"/>
            </v:rect>
            <v:rect style="position:absolute;left:4576;top:2334;width:1061;height:255" filled="true" fillcolor="#ccc0da" stroked="false">
              <v:fill type="solid"/>
            </v:rect>
            <v:rect style="position:absolute;left:5745;top:2082;width:1344;height:507" filled="true" fillcolor="#a7a8a7" stroked="false">
              <v:fill type="solid"/>
            </v:rect>
            <v:rect style="position:absolute;left:5853;top:2334;width:1128;height:255" filled="true" fillcolor="#a7a8a7" stroked="false">
              <v:fill type="solid"/>
            </v:rect>
            <v:rect style="position:absolute;left:7089;top:2082;width:960;height:507" filled="true" fillcolor="#ccc0da" stroked="false">
              <v:fill type="solid"/>
            </v:rect>
            <v:rect style="position:absolute;left:7197;top:2082;width:744;height:252" filled="true" fillcolor="#ccc0da" stroked="false">
              <v:fill type="solid"/>
            </v:rect>
            <v:rect style="position:absolute;left:7197;top:2334;width:744;height:255" filled="true" fillcolor="#ccc0da" stroked="false">
              <v:fill type="solid"/>
            </v:rect>
            <v:rect style="position:absolute;left:8049;top:2082;width:1210;height:507" filled="true" fillcolor="#ccc0da" stroked="false">
              <v:fill type="solid"/>
            </v:rect>
            <v:rect style="position:absolute;left:8157;top:2334;width:1004;height:255" filled="true" fillcolor="#ccc0da" stroked="false">
              <v:fill type="solid"/>
            </v:rect>
            <v:rect style="position:absolute;left:2539;top:2598;width:1932;height:507" filled="true" fillcolor="#e6b8b7" stroked="false">
              <v:fill type="solid"/>
            </v:rect>
            <v:rect style="position:absolute;left:2637;top:2850;width:1724;height:255" filled="true" fillcolor="#e6b8b7" stroked="false">
              <v:fill type="solid"/>
            </v:rect>
            <v:rect style="position:absolute;left:4476;top:2598;width:1270;height:507" filled="true" fillcolor="#a7a8a7" stroked="false">
              <v:fill type="solid"/>
            </v:rect>
            <v:rect style="position:absolute;left:4576;top:2850;width:1061;height:255" filled="true" fillcolor="#a7a8a7" stroked="false">
              <v:fill type="solid"/>
            </v:rect>
            <v:rect style="position:absolute;left:5745;top:2598;width:1344;height:507" filled="true" fillcolor="#e6b8b7" stroked="false">
              <v:fill type="solid"/>
            </v:rect>
            <v:rect style="position:absolute;left:5853;top:2850;width:1128;height:255" filled="true" fillcolor="#e6b8b7" stroked="false">
              <v:fill type="solid"/>
            </v:rect>
            <v:rect style="position:absolute;left:7089;top:2598;width:960;height:507" filled="true" fillcolor="#e6b8b7" stroked="false">
              <v:fill type="solid"/>
            </v:rect>
            <v:rect style="position:absolute;left:7197;top:2598;width:744;height:252" filled="true" fillcolor="#e6b8b7" stroked="false">
              <v:fill type="solid"/>
            </v:rect>
            <v:rect style="position:absolute;left:7197;top:2850;width:744;height:255" filled="true" fillcolor="#e6b8b7" stroked="false">
              <v:fill type="solid"/>
            </v:rect>
            <v:rect style="position:absolute;left:8049;top:2598;width:1210;height:507" filled="true" fillcolor="#a7a8a7" stroked="false">
              <v:fill type="solid"/>
            </v:rect>
            <v:rect style="position:absolute;left:8157;top:2850;width:1004;height:255" filled="true" fillcolor="#a7a8a7" stroked="false">
              <v:fill type="solid"/>
            </v:rect>
            <v:line style="position:absolute" from="2542,2594" to="4466,2594" stroked="true" strokeweight=".48pt" strokecolor="#000000">
              <v:stroke dashstyle="solid"/>
            </v:line>
            <v:rect style="position:absolute;left:4466;top:2589;width:10;height:10" filled="true" fillcolor="#000000" stroked="false">
              <v:fill type="solid"/>
            </v:rect>
            <v:line style="position:absolute" from="4476,2594" to="5746,2594" stroked="true" strokeweight=".48pt" strokecolor="#000000">
              <v:stroke dashstyle="solid"/>
            </v:line>
            <v:rect style="position:absolute;left:5745;top:2589;width:10;height:10" filled="true" fillcolor="#000000" stroked="false">
              <v:fill type="solid"/>
            </v:rect>
            <v:line style="position:absolute" from="5755,2594" to="7092,2594" stroked="true" strokeweight=".48pt" strokecolor="#000000">
              <v:stroke dashstyle="solid"/>
            </v:line>
            <v:rect style="position:absolute;left:7092;top:2589;width:10;height:10" filled="true" fillcolor="#000000" stroked="false">
              <v:fill type="solid"/>
            </v:rect>
            <v:line style="position:absolute" from="7102,2594" to="8052,2594" stroked="true" strokeweight=".48pt" strokecolor="#000000">
              <v:stroke dashstyle="solid"/>
            </v:line>
            <v:rect style="position:absolute;left:8052;top:2589;width:10;height:10" filled="true" fillcolor="#000000" stroked="false">
              <v:fill type="solid"/>
            </v:rect>
            <v:line style="position:absolute" from="8062,2594" to="9262,2594" stroked="true" strokeweight=".48pt" strokecolor="#000000">
              <v:stroke dashstyle="solid"/>
            </v:line>
            <v:line style="position:absolute" from="2532,280" to="2532,3124" stroked="true" strokeweight=".96pt" strokecolor="#000000">
              <v:stroke dashstyle="solid"/>
            </v:line>
            <v:line style="position:absolute" from="4471,300" to="4471,3105" stroked="true" strokeweight=".481pt" strokecolor="#a7a8a7">
              <v:stroke dashstyle="solid"/>
            </v:line>
            <v:line style="position:absolute" from="9271,280" to="9271,3124" stroked="true" strokeweight=".96pt" strokecolor="#000000">
              <v:stroke dashstyle="solid"/>
            </v:line>
            <v:rect style="position:absolute;left:2541;top:3105;width:20;height:20" filled="true" fillcolor="#000000" stroked="false">
              <v:fill type="solid"/>
            </v:rect>
            <v:line style="position:absolute" from="2561,3115" to="4466,3115" stroked="true" strokeweight=".96pt" strokecolor="#000000">
              <v:stroke dashstyle="solid"/>
            </v:line>
            <v:rect style="position:absolute;left:4466;top:3105;width:20;height:20" filled="true" fillcolor="#000000" stroked="false">
              <v:fill type="solid"/>
            </v:rect>
            <v:rect style="position:absolute;left:4485;top:3105;width:1260;height:20" filled="true" fillcolor="#000000" stroked="false">
              <v:fill type="solid"/>
            </v:rect>
            <v:rect style="position:absolute;left:5745;top:3105;width:20;height:20" filled="true" fillcolor="#000000" stroked="false">
              <v:fill type="solid"/>
            </v:rect>
            <v:line style="position:absolute" from="5765,3115" to="7092,3115" stroked="true" strokeweight=".96pt" strokecolor="#000000">
              <v:stroke dashstyle="solid"/>
            </v:line>
            <v:rect style="position:absolute;left:7092;top:3105;width:20;height:20" filled="true" fillcolor="#000000" stroked="false">
              <v:fill type="solid"/>
            </v:rect>
            <v:line style="position:absolute" from="7111,3115" to="8052,3115" stroked="true" strokeweight=".96pt" strokecolor="#000000">
              <v:stroke dashstyle="solid"/>
            </v:line>
            <v:rect style="position:absolute;left:8052;top:3105;width:20;height:20" filled="true" fillcolor="#000000" stroked="false">
              <v:fill type="solid"/>
            </v:rect>
            <v:line style="position:absolute" from="8071,3115" to="9262,3115" stroked="true" strokeweight=".96pt" strokecolor="#000000">
              <v:stroke dashstyle="solid"/>
            </v:line>
            <v:shape style="position:absolute;left:3175;top:555;width:669;height:247" type="#_x0000_t202" filled="false" stroked="false">
              <v:textbox inset="0,0,0,0">
                <w:txbxContent>
                  <w:p>
                    <w:pPr>
                      <w:spacing w:line="247" w:lineRule="exact" w:before="0"/>
                      <w:ind w:left="0" w:right="0" w:firstLine="0"/>
                      <w:jc w:val="left"/>
                      <w:rPr>
                        <w:b/>
                        <w:sz w:val="22"/>
                      </w:rPr>
                    </w:pPr>
                    <w:r>
                      <w:rPr>
                        <w:b/>
                        <w:sz w:val="22"/>
                      </w:rPr>
                      <w:t>Zones</w:t>
                    </w:r>
                  </w:p>
                </w:txbxContent>
              </v:textbox>
              <w10:wrap type="none"/>
            </v:shape>
            <v:shape style="position:absolute;left:5100;top:349;width:1381;height:247" type="#_x0000_t202" filled="false" stroked="false">
              <v:textbox inset="0,0,0,0">
                <w:txbxContent>
                  <w:p>
                    <w:pPr>
                      <w:spacing w:line="247" w:lineRule="exact" w:before="0"/>
                      <w:ind w:left="0" w:right="0" w:firstLine="0"/>
                      <w:jc w:val="left"/>
                      <w:rPr>
                        <w:b/>
                        <w:sz w:val="22"/>
                      </w:rPr>
                    </w:pPr>
                    <w:r>
                      <w:rPr>
                        <w:b/>
                        <w:sz w:val="22"/>
                      </w:rPr>
                      <w:t>Haines Index</w:t>
                    </w:r>
                  </w:p>
                </w:txbxContent>
              </v:textbox>
              <w10:wrap type="none"/>
            </v:shape>
            <v:shape style="position:absolute;left:7411;top:555;width:337;height:247" type="#_x0000_t202" filled="false" stroked="false">
              <v:textbox inset="0,0,0,0">
                <w:txbxContent>
                  <w:p>
                    <w:pPr>
                      <w:spacing w:line="247" w:lineRule="exact" w:before="0"/>
                      <w:ind w:left="0" w:right="0" w:firstLine="0"/>
                      <w:jc w:val="left"/>
                      <w:rPr>
                        <w:b/>
                        <w:sz w:val="22"/>
                      </w:rPr>
                    </w:pPr>
                    <w:r>
                      <w:rPr>
                        <w:b/>
                        <w:sz w:val="22"/>
                      </w:rPr>
                      <w:t>RH</w:t>
                    </w:r>
                  </w:p>
                </w:txbxContent>
              </v:textbox>
              <w10:wrap type="none"/>
            </v:shape>
            <v:shape style="position:absolute;left:4598;top:810;width:2400;height:247" type="#_x0000_t202" filled="false" stroked="false">
              <v:textbox inset="0,0,0,0">
                <w:txbxContent>
                  <w:p>
                    <w:pPr>
                      <w:tabs>
                        <w:tab w:pos="1255" w:val="left" w:leader="none"/>
                      </w:tabs>
                      <w:spacing w:line="247" w:lineRule="exact" w:before="0"/>
                      <w:ind w:left="0" w:right="0" w:firstLine="0"/>
                      <w:jc w:val="left"/>
                      <w:rPr>
                        <w:b/>
                        <w:sz w:val="22"/>
                      </w:rPr>
                    </w:pPr>
                    <w:r>
                      <w:rPr>
                        <w:b/>
                        <w:sz w:val="22"/>
                      </w:rPr>
                      <w:t>Mid-Level</w:t>
                      <w:tab/>
                      <w:t>High-Level</w:t>
                    </w:r>
                  </w:p>
                </w:txbxContent>
              </v:textbox>
              <w10:wrap type="none"/>
            </v:shape>
            <v:shape style="position:absolute;left:8248;top:303;width:841;height:754" type="#_x0000_t202" filled="false" stroked="false">
              <v:textbox inset="0,0,0,0">
                <w:txbxContent>
                  <w:p>
                    <w:pPr>
                      <w:spacing w:line="240" w:lineRule="auto" w:before="0"/>
                      <w:ind w:left="0" w:right="18" w:firstLine="0"/>
                      <w:jc w:val="center"/>
                      <w:rPr>
                        <w:b/>
                        <w:sz w:val="22"/>
                      </w:rPr>
                    </w:pPr>
                    <w:r>
                      <w:rPr>
                        <w:b/>
                        <w:sz w:val="22"/>
                      </w:rPr>
                      <w:t>Opaque Sky Cover</w:t>
                    </w:r>
                  </w:p>
                </w:txbxContent>
              </v:textbox>
              <w10:wrap type="none"/>
            </v:shape>
            <v:shape style="position:absolute;left:2637;top:1071;width:1745;height:1008" type="#_x0000_t202" filled="false" stroked="false">
              <v:textbox inset="0,0,0,0">
                <w:txbxContent>
                  <w:p>
                    <w:pPr>
                      <w:spacing w:line="247" w:lineRule="exact" w:before="0"/>
                      <w:ind w:left="0" w:right="0" w:firstLine="0"/>
                      <w:jc w:val="left"/>
                      <w:rPr>
                        <w:b/>
                        <w:sz w:val="22"/>
                      </w:rPr>
                    </w:pPr>
                    <w:r>
                      <w:rPr>
                        <w:b/>
                        <w:sz w:val="22"/>
                      </w:rPr>
                      <w:t>Westside: 649-</w:t>
                    </w:r>
                  </w:p>
                  <w:p>
                    <w:pPr>
                      <w:spacing w:before="1"/>
                      <w:ind w:left="0" w:right="0" w:firstLine="0"/>
                      <w:jc w:val="left"/>
                      <w:rPr>
                        <w:b/>
                        <w:sz w:val="22"/>
                      </w:rPr>
                    </w:pPr>
                    <w:r>
                      <w:rPr>
                        <w:b/>
                        <w:sz w:val="22"/>
                      </w:rPr>
                      <w:t>661</w:t>
                    </w:r>
                  </w:p>
                  <w:p>
                    <w:pPr>
                      <w:spacing w:line="240" w:lineRule="auto" w:before="0"/>
                      <w:rPr>
                        <w:b/>
                        <w:sz w:val="22"/>
                      </w:rPr>
                    </w:pPr>
                  </w:p>
                  <w:p>
                    <w:pPr>
                      <w:spacing w:before="1"/>
                      <w:ind w:left="146" w:right="0" w:firstLine="0"/>
                      <w:jc w:val="left"/>
                      <w:rPr>
                        <w:sz w:val="22"/>
                      </w:rPr>
                    </w:pPr>
                    <w:r>
                      <w:rPr>
                        <w:i/>
                        <w:sz w:val="22"/>
                      </w:rPr>
                      <w:t>Below </w:t>
                    </w:r>
                    <w:r>
                      <w:rPr>
                        <w:sz w:val="22"/>
                      </w:rPr>
                      <w:t>2000 feet</w:t>
                    </w:r>
                  </w:p>
                </w:txbxContent>
              </v:textbox>
              <w10:wrap type="none"/>
            </v:shape>
            <v:shape style="position:absolute;left:5044;top:1832;width:143;height:247" type="#_x0000_t202" filled="false" stroked="false">
              <v:textbox inset="0,0,0,0">
                <w:txbxContent>
                  <w:p>
                    <w:pPr>
                      <w:spacing w:line="247" w:lineRule="exact" w:before="0"/>
                      <w:ind w:left="0" w:right="0" w:firstLine="0"/>
                      <w:jc w:val="left"/>
                      <w:rPr>
                        <w:sz w:val="22"/>
                      </w:rPr>
                    </w:pPr>
                    <w:r>
                      <w:rPr>
                        <w:w w:val="100"/>
                        <w:sz w:val="22"/>
                      </w:rPr>
                      <w:t>6</w:t>
                    </w:r>
                  </w:p>
                </w:txbxContent>
              </v:textbox>
              <w10:wrap type="none"/>
            </v:shape>
            <v:shape style="position:absolute;left:7348;top:1580;width:461;height:1522" type="#_x0000_t202" filled="false" stroked="false">
              <v:textbox inset="0,0,0,0">
                <w:txbxContent>
                  <w:p>
                    <w:pPr>
                      <w:spacing w:line="240" w:lineRule="auto" w:before="0"/>
                      <w:ind w:left="0" w:right="0" w:firstLine="91"/>
                      <w:jc w:val="left"/>
                      <w:rPr>
                        <w:sz w:val="22"/>
                      </w:rPr>
                    </w:pPr>
                    <w:r>
                      <w:rPr>
                        <w:sz w:val="22"/>
                      </w:rPr>
                      <w:t>&lt;= 20%</w:t>
                    </w:r>
                  </w:p>
                  <w:p>
                    <w:pPr>
                      <w:spacing w:before="0"/>
                      <w:ind w:left="0" w:right="0" w:firstLine="91"/>
                      <w:jc w:val="left"/>
                      <w:rPr>
                        <w:sz w:val="22"/>
                      </w:rPr>
                    </w:pPr>
                    <w:r>
                      <w:rPr>
                        <w:sz w:val="22"/>
                      </w:rPr>
                      <w:t>&lt;= 25%</w:t>
                    </w:r>
                  </w:p>
                  <w:p>
                    <w:pPr>
                      <w:spacing w:before="4"/>
                      <w:ind w:left="0" w:right="0" w:firstLine="91"/>
                      <w:jc w:val="left"/>
                      <w:rPr>
                        <w:sz w:val="22"/>
                      </w:rPr>
                    </w:pPr>
                    <w:r>
                      <w:rPr>
                        <w:sz w:val="22"/>
                      </w:rPr>
                      <w:t>&lt;= 15%</w:t>
                    </w:r>
                  </w:p>
                </w:txbxContent>
              </v:textbox>
              <w10:wrap type="none"/>
            </v:shape>
            <v:shape style="position:absolute;left:8344;top:1832;width:648;height:247" type="#_x0000_t202" filled="false" stroked="false">
              <v:textbox inset="0,0,0,0">
                <w:txbxContent>
                  <w:p>
                    <w:pPr>
                      <w:spacing w:line="247" w:lineRule="exact" w:before="0"/>
                      <w:ind w:left="0" w:right="0" w:firstLine="0"/>
                      <w:jc w:val="left"/>
                      <w:rPr>
                        <w:sz w:val="22"/>
                      </w:rPr>
                    </w:pPr>
                    <w:r>
                      <w:rPr>
                        <w:sz w:val="22"/>
                      </w:rPr>
                      <w:t>&lt; 50%</w:t>
                    </w:r>
                  </w:p>
                </w:txbxContent>
              </v:textbox>
              <w10:wrap type="none"/>
            </v:shape>
            <v:shape style="position:absolute;left:2757;top:2338;width:1624;height:247" type="#_x0000_t202" filled="false" stroked="false">
              <v:textbox inset="0,0,0,0">
                <w:txbxContent>
                  <w:p>
                    <w:pPr>
                      <w:spacing w:line="247" w:lineRule="exact" w:before="0"/>
                      <w:ind w:left="0" w:right="0" w:firstLine="0"/>
                      <w:jc w:val="left"/>
                      <w:rPr>
                        <w:sz w:val="22"/>
                      </w:rPr>
                    </w:pPr>
                    <w:r>
                      <w:rPr>
                        <w:i/>
                        <w:sz w:val="22"/>
                      </w:rPr>
                      <w:t>Above </w:t>
                    </w:r>
                    <w:r>
                      <w:rPr>
                        <w:sz w:val="22"/>
                      </w:rPr>
                      <w:t>2000 feet</w:t>
                    </w:r>
                  </w:p>
                </w:txbxContent>
              </v:textbox>
              <w10:wrap type="none"/>
            </v:shape>
            <v:shape style="position:absolute;left:5044;top:2338;width:143;height:247" type="#_x0000_t202" filled="false" stroked="false">
              <v:textbox inset="0,0,0,0">
                <w:txbxContent>
                  <w:p>
                    <w:pPr>
                      <w:spacing w:line="247" w:lineRule="exact" w:before="0"/>
                      <w:ind w:left="0" w:right="0" w:firstLine="0"/>
                      <w:jc w:val="left"/>
                      <w:rPr>
                        <w:sz w:val="22"/>
                      </w:rPr>
                    </w:pPr>
                    <w:r>
                      <w:rPr>
                        <w:w w:val="100"/>
                        <w:sz w:val="22"/>
                      </w:rPr>
                      <w:t>6</w:t>
                    </w:r>
                  </w:p>
                </w:txbxContent>
              </v:textbox>
              <w10:wrap type="none"/>
            </v:shape>
            <v:shape style="position:absolute;left:8344;top:2338;width:648;height:247" type="#_x0000_t202" filled="false" stroked="false">
              <v:textbox inset="0,0,0,0">
                <w:txbxContent>
                  <w:p>
                    <w:pPr>
                      <w:spacing w:line="247" w:lineRule="exact" w:before="0"/>
                      <w:ind w:left="0" w:right="0" w:firstLine="0"/>
                      <w:jc w:val="left"/>
                      <w:rPr>
                        <w:sz w:val="22"/>
                      </w:rPr>
                    </w:pPr>
                    <w:r>
                      <w:rPr>
                        <w:sz w:val="22"/>
                      </w:rPr>
                      <w:t>&lt; 50%</w:t>
                    </w:r>
                  </w:p>
                </w:txbxContent>
              </v:textbox>
              <w10:wrap type="none"/>
            </v:shape>
            <v:shape style="position:absolute;left:2637;top:2852;width:1491;height:247" type="#_x0000_t202" filled="false" stroked="false">
              <v:textbox inset="0,0,0,0">
                <w:txbxContent>
                  <w:p>
                    <w:pPr>
                      <w:spacing w:line="247" w:lineRule="exact" w:before="0"/>
                      <w:ind w:left="0" w:right="0" w:firstLine="0"/>
                      <w:jc w:val="left"/>
                      <w:rPr>
                        <w:b/>
                        <w:sz w:val="22"/>
                      </w:rPr>
                    </w:pPr>
                    <w:r>
                      <w:rPr>
                        <w:b/>
                        <w:sz w:val="22"/>
                      </w:rPr>
                      <w:t>Eastside:</w:t>
                    </w:r>
                    <w:r>
                      <w:rPr>
                        <w:b/>
                        <w:spacing w:val="58"/>
                        <w:sz w:val="22"/>
                      </w:rPr>
                      <w:t> </w:t>
                    </w:r>
                    <w:r>
                      <w:rPr>
                        <w:b/>
                        <w:sz w:val="22"/>
                      </w:rPr>
                      <w:t>662</w:t>
                    </w:r>
                  </w:p>
                </w:txbxContent>
              </v:textbox>
              <w10:wrap type="none"/>
            </v:shape>
            <v:shape style="position:absolute;left:6355;top:2854;width:143;height:247" type="#_x0000_t202" filled="false" stroked="false">
              <v:textbox inset="0,0,0,0">
                <w:txbxContent>
                  <w:p>
                    <w:pPr>
                      <w:spacing w:line="247" w:lineRule="exact" w:before="0"/>
                      <w:ind w:left="0" w:right="0" w:firstLine="0"/>
                      <w:jc w:val="left"/>
                      <w:rPr>
                        <w:sz w:val="22"/>
                      </w:rPr>
                    </w:pPr>
                    <w:r>
                      <w:rPr>
                        <w:w w:val="100"/>
                        <w:sz w:val="22"/>
                      </w:rPr>
                      <w:t>6</w:t>
                    </w:r>
                  </w:p>
                </w:txbxContent>
              </v:textbox>
              <w10:wrap type="none"/>
            </v:shape>
            <w10:wrap type="topAndBottom"/>
          </v:group>
        </w:pict>
      </w:r>
    </w:p>
    <w:p>
      <w:pPr>
        <w:spacing w:before="6"/>
        <w:ind w:left="2703" w:right="0" w:firstLine="0"/>
        <w:jc w:val="left"/>
        <w:rPr>
          <w:sz w:val="22"/>
        </w:rPr>
      </w:pPr>
      <w:r>
        <w:rPr>
          <w:sz w:val="22"/>
        </w:rPr>
        <w:t>Criteria must be met concurrently to meet Red Flag criteria</w:t>
      </w:r>
    </w:p>
    <w:p>
      <w:pPr>
        <w:pStyle w:val="BodyText"/>
        <w:rPr>
          <w:sz w:val="20"/>
        </w:rPr>
      </w:pPr>
    </w:p>
    <w:p>
      <w:pPr>
        <w:pStyle w:val="BodyText"/>
        <w:spacing w:before="8"/>
        <w:rPr>
          <w:sz w:val="18"/>
        </w:rPr>
      </w:pPr>
    </w:p>
    <w:p>
      <w:pPr>
        <w:pStyle w:val="Heading8"/>
        <w:numPr>
          <w:ilvl w:val="0"/>
          <w:numId w:val="15"/>
        </w:numPr>
        <w:tabs>
          <w:tab w:pos="2101" w:val="left" w:leader="none"/>
        </w:tabs>
        <w:spacing w:line="240" w:lineRule="auto" w:before="92" w:after="0"/>
        <w:ind w:left="2100" w:right="0" w:hanging="360"/>
        <w:jc w:val="left"/>
      </w:pPr>
      <w:r>
        <w:rPr>
          <w:u w:val="thick"/>
        </w:rPr>
        <w:t>SPOT</w:t>
      </w:r>
      <w:r>
        <w:rPr>
          <w:spacing w:val="-1"/>
          <w:u w:val="thick"/>
        </w:rPr>
        <w:t> </w:t>
      </w:r>
      <w:r>
        <w:rPr>
          <w:u w:val="thick"/>
        </w:rPr>
        <w:t>FORECASTS</w:t>
      </w:r>
    </w:p>
    <w:p>
      <w:pPr>
        <w:pStyle w:val="BodyText"/>
        <w:rPr>
          <w:b/>
          <w:sz w:val="16"/>
        </w:rPr>
      </w:pPr>
    </w:p>
    <w:p>
      <w:pPr>
        <w:pStyle w:val="BodyText"/>
        <w:spacing w:before="92"/>
        <w:ind w:left="1740" w:right="1302"/>
      </w:pPr>
      <w:bookmarkStart w:name="An overview of the Spot Forecast program" w:id="106"/>
      <w:bookmarkEnd w:id="106"/>
      <w:r>
        <w:rPr/>
      </w:r>
      <w:r>
        <w:rPr/>
        <w:t>An overview of the Spot Forecast program is found in the NWS section of this document.</w:t>
      </w:r>
    </w:p>
    <w:p>
      <w:pPr>
        <w:pStyle w:val="BodyText"/>
      </w:pPr>
    </w:p>
    <w:p>
      <w:pPr>
        <w:pStyle w:val="Heading8"/>
        <w:numPr>
          <w:ilvl w:val="0"/>
          <w:numId w:val="15"/>
        </w:numPr>
        <w:tabs>
          <w:tab w:pos="2101" w:val="left" w:leader="none"/>
        </w:tabs>
        <w:spacing w:line="240" w:lineRule="auto" w:before="1" w:after="0"/>
        <w:ind w:left="2100" w:right="0" w:hanging="360"/>
        <w:jc w:val="left"/>
      </w:pPr>
      <w:r>
        <w:rPr>
          <w:u w:val="thick"/>
        </w:rPr>
        <w:t>FIRE WEATHER PLANNING FORECASTS</w:t>
      </w:r>
      <w:r>
        <w:rPr>
          <w:spacing w:val="2"/>
          <w:u w:val="thick"/>
        </w:rPr>
        <w:t> </w:t>
      </w:r>
      <w:r>
        <w:rPr>
          <w:u w:val="thick"/>
        </w:rPr>
        <w:t>(FWF)</w:t>
      </w:r>
    </w:p>
    <w:p>
      <w:pPr>
        <w:pStyle w:val="BodyText"/>
        <w:spacing w:before="11"/>
        <w:rPr>
          <w:b/>
          <w:sz w:val="15"/>
        </w:rPr>
      </w:pPr>
    </w:p>
    <w:p>
      <w:pPr>
        <w:pStyle w:val="BodyText"/>
        <w:spacing w:before="92"/>
        <w:ind w:left="1740" w:right="1289"/>
      </w:pPr>
      <w:bookmarkStart w:name="The following table shows NWS Seattle’s " w:id="107"/>
      <w:bookmarkEnd w:id="107"/>
      <w:r>
        <w:rPr/>
      </w:r>
      <w:r>
        <w:rPr/>
        <w:t>The following table shows NWS Seattle’s anticipated dates, times, and format of </w:t>
      </w:r>
      <w:hyperlink r:id="rId104">
        <w:r>
          <w:rPr>
            <w:color w:val="0000FF"/>
            <w:u w:val="single" w:color="0000FF"/>
          </w:rPr>
          <w:t>Fire Weather Planning Forecasts</w:t>
        </w:r>
        <w:r>
          <w:rPr>
            <w:color w:val="0000FF"/>
          </w:rPr>
          <w:t> </w:t>
        </w:r>
      </w:hyperlink>
      <w:r>
        <w:rPr/>
        <w:t>(FWFs) in 2018:</w:t>
      </w:r>
    </w:p>
    <w:p>
      <w:pPr>
        <w:spacing w:after="0"/>
        <w:sectPr>
          <w:pgSz w:w="12240" w:h="15840"/>
          <w:pgMar w:header="0" w:footer="968" w:top="1280" w:bottom="1240" w:left="340" w:right="620"/>
        </w:sectPr>
      </w:pPr>
    </w:p>
    <w:tbl>
      <w:tblPr>
        <w:tblW w:w="0" w:type="auto"/>
        <w:jc w:val="left"/>
        <w:tblInd w:w="2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6"/>
        <w:gridCol w:w="1363"/>
        <w:gridCol w:w="1030"/>
        <w:gridCol w:w="1171"/>
        <w:gridCol w:w="1414"/>
      </w:tblGrid>
      <w:tr>
        <w:trPr>
          <w:trHeight w:val="1290" w:hRule="atLeast"/>
        </w:trPr>
        <w:tc>
          <w:tcPr>
            <w:tcW w:w="2436" w:type="dxa"/>
            <w:tcBorders>
              <w:top w:val="single" w:sz="8" w:space="0" w:color="000000"/>
              <w:left w:val="single" w:sz="8" w:space="0" w:color="000000"/>
              <w:bottom w:val="single" w:sz="8" w:space="0" w:color="000000"/>
            </w:tcBorders>
            <w:shd w:val="clear" w:color="auto" w:fill="92CDDC"/>
          </w:tcPr>
          <w:p>
            <w:pPr>
              <w:pStyle w:val="TableParagraph"/>
              <w:rPr>
                <w:sz w:val="24"/>
              </w:rPr>
            </w:pPr>
          </w:p>
          <w:p>
            <w:pPr>
              <w:pStyle w:val="TableParagraph"/>
              <w:spacing w:before="7"/>
              <w:rPr>
                <w:sz w:val="20"/>
              </w:rPr>
            </w:pPr>
          </w:p>
          <w:p>
            <w:pPr>
              <w:pStyle w:val="TableParagraph"/>
              <w:ind w:left="107"/>
              <w:rPr>
                <w:b/>
                <w:sz w:val="22"/>
              </w:rPr>
            </w:pPr>
            <w:r>
              <w:rPr>
                <w:b/>
                <w:sz w:val="22"/>
              </w:rPr>
              <w:t>Dates (2018)</w:t>
            </w:r>
          </w:p>
        </w:tc>
        <w:tc>
          <w:tcPr>
            <w:tcW w:w="1363" w:type="dxa"/>
            <w:tcBorders>
              <w:top w:val="single" w:sz="8" w:space="0" w:color="000000"/>
              <w:bottom w:val="single" w:sz="8" w:space="0" w:color="000000"/>
            </w:tcBorders>
            <w:shd w:val="clear" w:color="auto" w:fill="92CDDC"/>
          </w:tcPr>
          <w:p>
            <w:pPr>
              <w:pStyle w:val="TableParagraph"/>
              <w:spacing w:before="7"/>
              <w:ind w:left="160" w:right="110" w:firstLine="60"/>
              <w:jc w:val="center"/>
              <w:rPr>
                <w:b/>
                <w:sz w:val="22"/>
              </w:rPr>
            </w:pPr>
            <w:r>
              <w:rPr>
                <w:b/>
                <w:sz w:val="22"/>
              </w:rPr>
              <w:t>FWFs on Weekends and Federal</w:t>
            </w:r>
          </w:p>
          <w:p>
            <w:pPr>
              <w:pStyle w:val="TableParagraph"/>
              <w:spacing w:line="251" w:lineRule="exact"/>
              <w:ind w:left="158" w:right="113"/>
              <w:jc w:val="center"/>
              <w:rPr>
                <w:b/>
                <w:sz w:val="22"/>
              </w:rPr>
            </w:pPr>
            <w:r>
              <w:rPr>
                <w:b/>
                <w:sz w:val="22"/>
              </w:rPr>
              <w:t>Holidays?</w:t>
            </w:r>
          </w:p>
        </w:tc>
        <w:tc>
          <w:tcPr>
            <w:tcW w:w="1030" w:type="dxa"/>
            <w:tcBorders>
              <w:top w:val="single" w:sz="8" w:space="0" w:color="000000"/>
              <w:bottom w:val="single" w:sz="8" w:space="0" w:color="000000"/>
            </w:tcBorders>
            <w:shd w:val="clear" w:color="auto" w:fill="92CDDC"/>
          </w:tcPr>
          <w:p>
            <w:pPr>
              <w:pStyle w:val="TableParagraph"/>
              <w:spacing w:before="8"/>
              <w:rPr>
                <w:sz w:val="22"/>
              </w:rPr>
            </w:pPr>
          </w:p>
          <w:p>
            <w:pPr>
              <w:pStyle w:val="TableParagraph"/>
              <w:ind w:left="225" w:right="202" w:hanging="2"/>
              <w:jc w:val="center"/>
              <w:rPr>
                <w:b/>
                <w:sz w:val="22"/>
              </w:rPr>
            </w:pPr>
            <w:r>
              <w:rPr>
                <w:b/>
                <w:sz w:val="22"/>
              </w:rPr>
              <w:t># of FWFs</w:t>
            </w:r>
          </w:p>
          <w:p>
            <w:pPr>
              <w:pStyle w:val="TableParagraph"/>
              <w:spacing w:line="251" w:lineRule="exact"/>
              <w:ind w:left="115" w:right="92"/>
              <w:jc w:val="center"/>
              <w:rPr>
                <w:b/>
                <w:sz w:val="22"/>
              </w:rPr>
            </w:pPr>
            <w:r>
              <w:rPr>
                <w:b/>
                <w:sz w:val="22"/>
              </w:rPr>
              <w:t>per day</w:t>
            </w:r>
          </w:p>
        </w:tc>
        <w:tc>
          <w:tcPr>
            <w:tcW w:w="1171" w:type="dxa"/>
            <w:tcBorders>
              <w:top w:val="single" w:sz="8" w:space="0" w:color="000000"/>
              <w:bottom w:val="single" w:sz="8" w:space="0" w:color="000000"/>
            </w:tcBorders>
            <w:shd w:val="clear" w:color="auto" w:fill="92CDDC"/>
          </w:tcPr>
          <w:p>
            <w:pPr>
              <w:pStyle w:val="TableParagraph"/>
              <w:spacing w:before="134"/>
              <w:ind w:left="134" w:right="91"/>
              <w:jc w:val="center"/>
              <w:rPr>
                <w:b/>
                <w:sz w:val="22"/>
              </w:rPr>
            </w:pPr>
            <w:r>
              <w:rPr>
                <w:b/>
                <w:sz w:val="22"/>
              </w:rPr>
              <w:t>Issuance Deadline (Local Time)</w:t>
            </w:r>
          </w:p>
        </w:tc>
        <w:tc>
          <w:tcPr>
            <w:tcW w:w="1414" w:type="dxa"/>
            <w:tcBorders>
              <w:top w:val="single" w:sz="8" w:space="0" w:color="000000"/>
              <w:bottom w:val="single" w:sz="8" w:space="0" w:color="000000"/>
              <w:right w:val="single" w:sz="8" w:space="0" w:color="000000"/>
            </w:tcBorders>
            <w:shd w:val="clear" w:color="auto" w:fill="92CDDC"/>
          </w:tcPr>
          <w:p>
            <w:pPr>
              <w:pStyle w:val="TableParagraph"/>
              <w:spacing w:before="8"/>
              <w:rPr>
                <w:sz w:val="22"/>
              </w:rPr>
            </w:pPr>
          </w:p>
          <w:p>
            <w:pPr>
              <w:pStyle w:val="TableParagraph"/>
              <w:ind w:left="119" w:right="81" w:firstLine="1"/>
              <w:jc w:val="center"/>
              <w:rPr>
                <w:b/>
                <w:sz w:val="22"/>
              </w:rPr>
            </w:pPr>
            <w:r>
              <w:rPr>
                <w:b/>
                <w:sz w:val="22"/>
              </w:rPr>
              <w:t>Format / Parameters Available</w:t>
            </w:r>
          </w:p>
        </w:tc>
      </w:tr>
      <w:tr>
        <w:trPr>
          <w:trHeight w:val="311" w:hRule="atLeast"/>
        </w:trPr>
        <w:tc>
          <w:tcPr>
            <w:tcW w:w="2436" w:type="dxa"/>
            <w:tcBorders>
              <w:top w:val="single" w:sz="8" w:space="0" w:color="000000"/>
              <w:left w:val="single" w:sz="8" w:space="0" w:color="000000"/>
            </w:tcBorders>
            <w:shd w:val="clear" w:color="auto" w:fill="DAEEF3"/>
          </w:tcPr>
          <w:p>
            <w:pPr>
              <w:pStyle w:val="TableParagraph"/>
              <w:spacing w:before="21"/>
              <w:ind w:left="107"/>
              <w:rPr>
                <w:sz w:val="22"/>
              </w:rPr>
            </w:pPr>
            <w:r>
              <w:rPr>
                <w:sz w:val="22"/>
              </w:rPr>
              <w:t>January 1 - June 3</w:t>
            </w:r>
          </w:p>
        </w:tc>
        <w:tc>
          <w:tcPr>
            <w:tcW w:w="1363" w:type="dxa"/>
            <w:tcBorders>
              <w:top w:val="single" w:sz="8" w:space="0" w:color="000000"/>
            </w:tcBorders>
            <w:shd w:val="clear" w:color="auto" w:fill="DAEEF3"/>
          </w:tcPr>
          <w:p>
            <w:pPr>
              <w:pStyle w:val="TableParagraph"/>
              <w:spacing w:before="21"/>
              <w:ind w:left="157" w:right="113"/>
              <w:jc w:val="center"/>
              <w:rPr>
                <w:sz w:val="22"/>
              </w:rPr>
            </w:pPr>
            <w:r>
              <w:rPr>
                <w:sz w:val="22"/>
              </w:rPr>
              <w:t>No</w:t>
            </w:r>
          </w:p>
        </w:tc>
        <w:tc>
          <w:tcPr>
            <w:tcW w:w="1030" w:type="dxa"/>
            <w:tcBorders>
              <w:top w:val="single" w:sz="8" w:space="0" w:color="000000"/>
            </w:tcBorders>
            <w:shd w:val="clear" w:color="auto" w:fill="DAEEF3"/>
          </w:tcPr>
          <w:p>
            <w:pPr>
              <w:pStyle w:val="TableParagraph"/>
              <w:spacing w:before="21"/>
              <w:ind w:left="19"/>
              <w:jc w:val="center"/>
              <w:rPr>
                <w:sz w:val="22"/>
              </w:rPr>
            </w:pPr>
            <w:r>
              <w:rPr>
                <w:w w:val="100"/>
                <w:sz w:val="22"/>
              </w:rPr>
              <w:t>1</w:t>
            </w:r>
          </w:p>
        </w:tc>
        <w:tc>
          <w:tcPr>
            <w:tcW w:w="1171" w:type="dxa"/>
            <w:tcBorders>
              <w:top w:val="single" w:sz="8" w:space="0" w:color="000000"/>
            </w:tcBorders>
            <w:shd w:val="clear" w:color="auto" w:fill="DAEEF3"/>
          </w:tcPr>
          <w:p>
            <w:pPr>
              <w:pStyle w:val="TableParagraph"/>
              <w:spacing w:before="21"/>
              <w:ind w:left="359"/>
              <w:rPr>
                <w:sz w:val="22"/>
              </w:rPr>
            </w:pPr>
            <w:r>
              <w:rPr>
                <w:sz w:val="22"/>
              </w:rPr>
              <w:t>0900</w:t>
            </w:r>
          </w:p>
        </w:tc>
        <w:tc>
          <w:tcPr>
            <w:tcW w:w="1414" w:type="dxa"/>
            <w:tcBorders>
              <w:top w:val="single" w:sz="8" w:space="0" w:color="000000"/>
              <w:right w:val="single" w:sz="8" w:space="0" w:color="000000"/>
            </w:tcBorders>
            <w:shd w:val="clear" w:color="auto" w:fill="DAEEF3"/>
          </w:tcPr>
          <w:p>
            <w:pPr>
              <w:pStyle w:val="TableParagraph"/>
              <w:spacing w:before="21"/>
              <w:ind w:right="123"/>
              <w:jc w:val="right"/>
              <w:rPr>
                <w:sz w:val="22"/>
              </w:rPr>
            </w:pPr>
            <w:r>
              <w:rPr>
                <w:sz w:val="22"/>
              </w:rPr>
              <w:t>Off-Season</w:t>
            </w:r>
          </w:p>
        </w:tc>
      </w:tr>
      <w:tr>
        <w:trPr>
          <w:trHeight w:val="587" w:hRule="atLeast"/>
        </w:trPr>
        <w:tc>
          <w:tcPr>
            <w:tcW w:w="2436" w:type="dxa"/>
            <w:tcBorders>
              <w:left w:val="single" w:sz="8" w:space="0" w:color="000000"/>
            </w:tcBorders>
            <w:shd w:val="clear" w:color="auto" w:fill="DAEEF3"/>
          </w:tcPr>
          <w:p>
            <w:pPr>
              <w:pStyle w:val="TableParagraph"/>
              <w:spacing w:before="158"/>
              <w:ind w:left="107"/>
              <w:rPr>
                <w:sz w:val="22"/>
              </w:rPr>
            </w:pPr>
            <w:r>
              <w:rPr>
                <w:sz w:val="22"/>
              </w:rPr>
              <w:t>June 4 – October 5</w:t>
            </w:r>
          </w:p>
        </w:tc>
        <w:tc>
          <w:tcPr>
            <w:tcW w:w="1363" w:type="dxa"/>
            <w:shd w:val="clear" w:color="auto" w:fill="DAEEF3"/>
          </w:tcPr>
          <w:p>
            <w:pPr>
              <w:pStyle w:val="TableParagraph"/>
              <w:spacing w:before="158"/>
              <w:ind w:left="158" w:right="110"/>
              <w:jc w:val="center"/>
              <w:rPr>
                <w:sz w:val="22"/>
              </w:rPr>
            </w:pPr>
            <w:r>
              <w:rPr>
                <w:sz w:val="22"/>
              </w:rPr>
              <w:t>Yes</w:t>
            </w:r>
          </w:p>
        </w:tc>
        <w:tc>
          <w:tcPr>
            <w:tcW w:w="1030" w:type="dxa"/>
            <w:shd w:val="clear" w:color="auto" w:fill="DAEEF3"/>
          </w:tcPr>
          <w:p>
            <w:pPr>
              <w:pStyle w:val="TableParagraph"/>
              <w:spacing w:before="158"/>
              <w:ind w:left="19"/>
              <w:jc w:val="center"/>
              <w:rPr>
                <w:sz w:val="22"/>
              </w:rPr>
            </w:pPr>
            <w:r>
              <w:rPr>
                <w:w w:val="100"/>
                <w:sz w:val="22"/>
              </w:rPr>
              <w:t>2</w:t>
            </w:r>
          </w:p>
        </w:tc>
        <w:tc>
          <w:tcPr>
            <w:tcW w:w="1171" w:type="dxa"/>
            <w:shd w:val="clear" w:color="auto" w:fill="DAEEF3"/>
          </w:tcPr>
          <w:p>
            <w:pPr>
              <w:pStyle w:val="TableParagraph"/>
              <w:spacing w:before="31"/>
              <w:ind w:left="359"/>
              <w:rPr>
                <w:sz w:val="22"/>
              </w:rPr>
            </w:pPr>
            <w:r>
              <w:rPr>
                <w:sz w:val="22"/>
              </w:rPr>
              <w:t>0830</w:t>
            </w:r>
          </w:p>
          <w:p>
            <w:pPr>
              <w:pStyle w:val="TableParagraph"/>
              <w:spacing w:before="1"/>
              <w:ind w:left="359"/>
              <w:rPr>
                <w:sz w:val="22"/>
              </w:rPr>
            </w:pPr>
            <w:r>
              <w:rPr>
                <w:sz w:val="22"/>
              </w:rPr>
              <w:t>1530</w:t>
            </w:r>
          </w:p>
        </w:tc>
        <w:tc>
          <w:tcPr>
            <w:tcW w:w="1414" w:type="dxa"/>
            <w:tcBorders>
              <w:right w:val="single" w:sz="8" w:space="0" w:color="000000"/>
            </w:tcBorders>
            <w:shd w:val="clear" w:color="auto" w:fill="DAEEF3"/>
          </w:tcPr>
          <w:p>
            <w:pPr>
              <w:pStyle w:val="TableParagraph"/>
              <w:spacing w:before="158"/>
              <w:ind w:right="178"/>
              <w:jc w:val="right"/>
              <w:rPr>
                <w:sz w:val="22"/>
              </w:rPr>
            </w:pPr>
            <w:r>
              <w:rPr>
                <w:sz w:val="22"/>
              </w:rPr>
              <w:t>In-Season</w:t>
            </w:r>
          </w:p>
        </w:tc>
      </w:tr>
      <w:tr>
        <w:trPr>
          <w:trHeight w:val="505" w:hRule="atLeast"/>
        </w:trPr>
        <w:tc>
          <w:tcPr>
            <w:tcW w:w="2436" w:type="dxa"/>
            <w:tcBorders>
              <w:left w:val="single" w:sz="8" w:space="0" w:color="000000"/>
              <w:bottom w:val="single" w:sz="8" w:space="0" w:color="000000"/>
            </w:tcBorders>
            <w:shd w:val="clear" w:color="auto" w:fill="C6D9F1"/>
          </w:tcPr>
          <w:p>
            <w:pPr>
              <w:pStyle w:val="TableParagraph"/>
              <w:spacing w:line="252" w:lineRule="exact" w:before="2"/>
              <w:ind w:left="107" w:right="122"/>
              <w:rPr>
                <w:sz w:val="22"/>
              </w:rPr>
            </w:pPr>
            <w:r>
              <w:rPr>
                <w:sz w:val="22"/>
              </w:rPr>
              <w:t>October 6 - December 31</w:t>
            </w:r>
          </w:p>
        </w:tc>
        <w:tc>
          <w:tcPr>
            <w:tcW w:w="1363" w:type="dxa"/>
            <w:tcBorders>
              <w:bottom w:val="single" w:sz="8" w:space="0" w:color="000000"/>
            </w:tcBorders>
            <w:shd w:val="clear" w:color="auto" w:fill="C6D9F1"/>
          </w:tcPr>
          <w:p>
            <w:pPr>
              <w:pStyle w:val="TableParagraph"/>
              <w:spacing w:before="125"/>
              <w:ind w:left="157" w:right="113"/>
              <w:jc w:val="center"/>
              <w:rPr>
                <w:sz w:val="22"/>
              </w:rPr>
            </w:pPr>
            <w:r>
              <w:rPr>
                <w:sz w:val="22"/>
              </w:rPr>
              <w:t>No</w:t>
            </w:r>
          </w:p>
        </w:tc>
        <w:tc>
          <w:tcPr>
            <w:tcW w:w="1030" w:type="dxa"/>
            <w:tcBorders>
              <w:bottom w:val="single" w:sz="8" w:space="0" w:color="000000"/>
            </w:tcBorders>
            <w:shd w:val="clear" w:color="auto" w:fill="C6D9F1"/>
          </w:tcPr>
          <w:p>
            <w:pPr>
              <w:pStyle w:val="TableParagraph"/>
              <w:spacing w:before="125"/>
              <w:ind w:left="19"/>
              <w:jc w:val="center"/>
              <w:rPr>
                <w:sz w:val="22"/>
              </w:rPr>
            </w:pPr>
            <w:r>
              <w:rPr>
                <w:w w:val="100"/>
                <w:sz w:val="22"/>
              </w:rPr>
              <w:t>1</w:t>
            </w:r>
          </w:p>
        </w:tc>
        <w:tc>
          <w:tcPr>
            <w:tcW w:w="1171" w:type="dxa"/>
            <w:tcBorders>
              <w:bottom w:val="single" w:sz="8" w:space="0" w:color="000000"/>
            </w:tcBorders>
            <w:shd w:val="clear" w:color="auto" w:fill="C6D9F1"/>
          </w:tcPr>
          <w:p>
            <w:pPr>
              <w:pStyle w:val="TableParagraph"/>
              <w:spacing w:before="125"/>
              <w:ind w:left="359"/>
              <w:rPr>
                <w:sz w:val="22"/>
              </w:rPr>
            </w:pPr>
            <w:r>
              <w:rPr>
                <w:sz w:val="22"/>
              </w:rPr>
              <w:t>0900</w:t>
            </w:r>
          </w:p>
        </w:tc>
        <w:tc>
          <w:tcPr>
            <w:tcW w:w="1414" w:type="dxa"/>
            <w:tcBorders>
              <w:bottom w:val="single" w:sz="8" w:space="0" w:color="000000"/>
              <w:right w:val="single" w:sz="8" w:space="0" w:color="000000"/>
            </w:tcBorders>
            <w:shd w:val="clear" w:color="auto" w:fill="C6D9F1"/>
          </w:tcPr>
          <w:p>
            <w:pPr>
              <w:pStyle w:val="TableParagraph"/>
              <w:spacing w:before="125"/>
              <w:ind w:right="123"/>
              <w:jc w:val="right"/>
              <w:rPr>
                <w:sz w:val="22"/>
              </w:rPr>
            </w:pPr>
            <w:r>
              <w:rPr>
                <w:sz w:val="22"/>
              </w:rPr>
              <w:t>Off-Season</w:t>
            </w:r>
          </w:p>
        </w:tc>
      </w:tr>
    </w:tbl>
    <w:p>
      <w:pPr>
        <w:pStyle w:val="BodyText"/>
        <w:spacing w:before="7"/>
        <w:rPr>
          <w:sz w:val="15"/>
        </w:rPr>
      </w:pPr>
    </w:p>
    <w:p>
      <w:pPr>
        <w:pStyle w:val="BodyText"/>
        <w:spacing w:before="92"/>
        <w:ind w:left="1740" w:right="2088"/>
      </w:pPr>
      <w:r>
        <w:rPr/>
        <w:t>These dates can be adjusted based on user needs and environmental conditions.</w:t>
      </w:r>
    </w:p>
    <w:p>
      <w:pPr>
        <w:pStyle w:val="BodyText"/>
        <w:rPr>
          <w:sz w:val="26"/>
        </w:rPr>
      </w:pPr>
    </w:p>
    <w:p>
      <w:pPr>
        <w:pStyle w:val="BodyText"/>
        <w:rPr>
          <w:sz w:val="22"/>
        </w:rPr>
      </w:pPr>
    </w:p>
    <w:p>
      <w:pPr>
        <w:pStyle w:val="Heading8"/>
        <w:numPr>
          <w:ilvl w:val="0"/>
          <w:numId w:val="15"/>
        </w:numPr>
        <w:tabs>
          <w:tab w:pos="2167" w:val="left" w:leader="none"/>
          <w:tab w:pos="2168" w:val="left" w:leader="none"/>
        </w:tabs>
        <w:spacing w:line="240" w:lineRule="auto" w:before="0" w:after="0"/>
        <w:ind w:left="2168" w:right="0" w:hanging="428"/>
        <w:jc w:val="left"/>
      </w:pPr>
      <w:r>
        <w:rPr>
          <w:u w:val="thick"/>
        </w:rPr>
        <w:t>INTERNET-BASED BRIEFING CALLS</w:t>
      </w:r>
    </w:p>
    <w:p>
      <w:pPr>
        <w:pStyle w:val="BodyText"/>
        <w:rPr>
          <w:b/>
          <w:sz w:val="16"/>
        </w:rPr>
      </w:pPr>
    </w:p>
    <w:p>
      <w:pPr>
        <w:pStyle w:val="BodyText"/>
        <w:spacing w:before="92"/>
        <w:ind w:left="1740" w:right="1020"/>
      </w:pPr>
      <w:r>
        <w:rPr/>
        <w:t>Statewide, Internet-based, Fire Weather briefing calls will be conducted each day at 9:00 AM PDT during peak fire season, and as needed near the beginning and end of the season. These calls are co-hosted by NWS offices in Spokane and Seattle. Contact this office for the appropriate telephone number and conference ID to participate. A recorded version of this call will be available under the Admin tab of the </w:t>
      </w:r>
      <w:hyperlink r:id="rId93">
        <w:r>
          <w:rPr>
            <w:color w:val="0000FF"/>
            <w:u w:val="single" w:color="0000FF"/>
          </w:rPr>
          <w:t>NWS Seattle’s Fire Weather webpage</w:t>
        </w:r>
        <w:r>
          <w:rPr>
            <w:color w:val="0000FF"/>
          </w:rPr>
          <w:t> </w:t>
        </w:r>
      </w:hyperlink>
      <w:r>
        <w:rPr/>
        <w:t>within 15-60 minutes of the briefing’s conclusion.</w:t>
      </w:r>
    </w:p>
    <w:p>
      <w:pPr>
        <w:pStyle w:val="BodyText"/>
      </w:pPr>
    </w:p>
    <w:p>
      <w:pPr>
        <w:pStyle w:val="Heading8"/>
        <w:numPr>
          <w:ilvl w:val="0"/>
          <w:numId w:val="15"/>
        </w:numPr>
        <w:tabs>
          <w:tab w:pos="2104" w:val="left" w:leader="none"/>
        </w:tabs>
        <w:spacing w:line="240" w:lineRule="auto" w:before="0" w:after="0"/>
        <w:ind w:left="2103" w:right="0" w:hanging="363"/>
        <w:jc w:val="left"/>
      </w:pPr>
      <w:r>
        <w:rPr>
          <w:u w:val="thick"/>
        </w:rPr>
        <w:t>AREA FORECAST</w:t>
      </w:r>
      <w:r>
        <w:rPr>
          <w:spacing w:val="-6"/>
          <w:u w:val="thick"/>
        </w:rPr>
        <w:t> </w:t>
      </w:r>
      <w:r>
        <w:rPr>
          <w:u w:val="thick"/>
        </w:rPr>
        <w:t>DISCUSSION</w:t>
      </w:r>
    </w:p>
    <w:p>
      <w:pPr>
        <w:pStyle w:val="BodyText"/>
        <w:rPr>
          <w:b/>
          <w:sz w:val="16"/>
        </w:rPr>
      </w:pPr>
    </w:p>
    <w:p>
      <w:pPr>
        <w:pStyle w:val="BodyText"/>
        <w:spacing w:before="92"/>
        <w:ind w:left="1740" w:right="1157"/>
      </w:pPr>
      <w:r>
        <w:rPr/>
        <w:t>The Fire Weather Forecaster will write a Fire Weather section in the </w:t>
      </w:r>
      <w:hyperlink r:id="rId105">
        <w:r>
          <w:rPr>
            <w:color w:val="0000FF"/>
            <w:u w:val="single" w:color="0000FF"/>
          </w:rPr>
          <w:t>Area</w:t>
        </w:r>
      </w:hyperlink>
      <w:r>
        <w:rPr>
          <w:color w:val="0000FF"/>
        </w:rPr>
        <w:t> </w:t>
      </w:r>
      <w:hyperlink r:id="rId105">
        <w:r>
          <w:rPr>
            <w:color w:val="0000FF"/>
            <w:u w:val="single" w:color="0000FF"/>
          </w:rPr>
          <w:t>Forecast Discussion (AFD)</w:t>
        </w:r>
        <w:r>
          <w:rPr>
            <w:color w:val="0000FF"/>
          </w:rPr>
          <w:t> </w:t>
        </w:r>
      </w:hyperlink>
      <w:r>
        <w:rPr/>
        <w:t>when Fire Weather Watches or Red Flag Warnings are in effect, or when conditions are otherwise deemed critical or of interest.</w:t>
      </w:r>
    </w:p>
    <w:p>
      <w:pPr>
        <w:pStyle w:val="BodyText"/>
      </w:pPr>
    </w:p>
    <w:p>
      <w:pPr>
        <w:pStyle w:val="Heading8"/>
        <w:ind w:left="1380"/>
      </w:pPr>
      <w:r>
        <w:rPr/>
        <w:t>FEDERAL AND STATE AGENCIES SERVED</w:t>
      </w:r>
    </w:p>
    <w:p>
      <w:pPr>
        <w:pStyle w:val="BodyText"/>
        <w:rPr>
          <w:b/>
        </w:rPr>
      </w:pPr>
    </w:p>
    <w:p>
      <w:pPr>
        <w:pStyle w:val="BodyText"/>
        <w:ind w:left="1380" w:right="1142"/>
      </w:pPr>
      <w:r>
        <w:rPr>
          <w:b/>
        </w:rPr>
        <w:t>U.S. Forest Service </w:t>
      </w:r>
      <w:r>
        <w:rPr/>
        <w:t>- Olympic National Forest, Mt. Baker-Snoqualmie National Forest, Gifford-Pinchot National Forest and Okanogan-Wenatchee National Forest</w:t>
      </w:r>
    </w:p>
    <w:p>
      <w:pPr>
        <w:pStyle w:val="BodyText"/>
      </w:pPr>
    </w:p>
    <w:p>
      <w:pPr>
        <w:pStyle w:val="BodyText"/>
        <w:ind w:left="1380" w:right="1022"/>
      </w:pPr>
      <w:r>
        <w:rPr>
          <w:b/>
        </w:rPr>
        <w:t>National Park Service </w:t>
      </w:r>
      <w:r>
        <w:rPr/>
        <w:t>- North Cascades National Park Complex, Olympic National Park, Mount Rainier National Park and San Juan Islands National Historical Park</w:t>
      </w:r>
    </w:p>
    <w:p>
      <w:pPr>
        <w:pStyle w:val="BodyText"/>
      </w:pPr>
    </w:p>
    <w:p>
      <w:pPr>
        <w:spacing w:before="1"/>
        <w:ind w:left="1380" w:right="0" w:firstLine="0"/>
        <w:jc w:val="left"/>
        <w:rPr>
          <w:sz w:val="24"/>
        </w:rPr>
      </w:pPr>
      <w:r>
        <w:rPr>
          <w:b/>
          <w:sz w:val="24"/>
        </w:rPr>
        <w:t>Bureau of Indian Affairs </w:t>
      </w:r>
      <w:r>
        <w:rPr>
          <w:sz w:val="24"/>
        </w:rPr>
        <w:t>- Olympic Peninsula Agency and Puget Sound Agency</w:t>
      </w:r>
    </w:p>
    <w:p>
      <w:pPr>
        <w:pStyle w:val="BodyText"/>
        <w:spacing w:before="11"/>
        <w:rPr>
          <w:sz w:val="23"/>
        </w:rPr>
      </w:pPr>
    </w:p>
    <w:p>
      <w:pPr>
        <w:pStyle w:val="Heading8"/>
        <w:ind w:left="1380"/>
        <w:rPr>
          <w:b w:val="0"/>
        </w:rPr>
      </w:pPr>
      <w:r>
        <w:rPr/>
        <w:t>Washington Department of Natural Resources </w:t>
      </w:r>
      <w:r>
        <w:rPr>
          <w:b w:val="0"/>
        </w:rPr>
        <w:t>-</w:t>
      </w:r>
    </w:p>
    <w:p>
      <w:pPr>
        <w:pStyle w:val="BodyText"/>
        <w:ind w:left="1380" w:right="1075"/>
      </w:pPr>
      <w:r>
        <w:rPr/>
        <w:t>Resource Protection Division, as well as the Northwest, Olympic, South Puget, and Pacific Cascade Regions</w:t>
      </w:r>
    </w:p>
    <w:p>
      <w:pPr>
        <w:pStyle w:val="BodyText"/>
      </w:pPr>
    </w:p>
    <w:p>
      <w:pPr>
        <w:spacing w:before="0"/>
        <w:ind w:left="1380" w:right="0" w:firstLine="0"/>
        <w:jc w:val="left"/>
        <w:rPr>
          <w:sz w:val="24"/>
        </w:rPr>
      </w:pPr>
      <w:r>
        <w:rPr>
          <w:b/>
          <w:sz w:val="24"/>
        </w:rPr>
        <w:t>Department of Defense </w:t>
      </w:r>
      <w:r>
        <w:rPr>
          <w:sz w:val="24"/>
        </w:rPr>
        <w:t>– Joint Base Lewis-McChord Forestry Program</w:t>
      </w:r>
    </w:p>
    <w:p>
      <w:pPr>
        <w:spacing w:after="0"/>
        <w:jc w:val="left"/>
        <w:rPr>
          <w:sz w:val="24"/>
        </w:rPr>
        <w:sectPr>
          <w:pgSz w:w="12240" w:h="15840"/>
          <w:pgMar w:header="0" w:footer="968" w:top="1360" w:bottom="1240" w:left="340" w:right="620"/>
        </w:sectPr>
      </w:pPr>
    </w:p>
    <w:p>
      <w:pPr>
        <w:spacing w:before="76"/>
        <w:ind w:left="1380" w:right="0" w:firstLine="0"/>
        <w:jc w:val="left"/>
        <w:rPr>
          <w:b/>
          <w:sz w:val="32"/>
        </w:rPr>
      </w:pPr>
      <w:r>
        <w:rPr>
          <w:b/>
          <w:sz w:val="32"/>
        </w:rPr>
        <w:t>Appendix 1: </w:t>
      </w:r>
      <w:hyperlink w:history="true" w:anchor="_bookmark14">
        <w:r>
          <w:rPr>
            <w:b/>
            <w:color w:val="0000FF"/>
            <w:sz w:val="32"/>
            <w:u w:val="thick" w:color="0000FF"/>
          </w:rPr>
          <w:t>Fire Weather Zone Boundary Descriptions</w:t>
        </w:r>
      </w:hyperlink>
    </w:p>
    <w:p>
      <w:pPr>
        <w:pStyle w:val="BodyText"/>
        <w:spacing w:before="1"/>
        <w:rPr>
          <w:b/>
        </w:rPr>
      </w:pPr>
    </w:p>
    <w:p>
      <w:pPr>
        <w:spacing w:before="89"/>
        <w:ind w:left="1380" w:right="0" w:firstLine="0"/>
        <w:jc w:val="left"/>
        <w:rPr>
          <w:b/>
          <w:sz w:val="32"/>
        </w:rPr>
      </w:pPr>
      <w:r>
        <w:rPr>
          <w:b/>
          <w:sz w:val="32"/>
        </w:rPr>
        <w:t>Appendix 2: </w:t>
      </w:r>
      <w:hyperlink w:history="true" w:anchor="_bookmark15">
        <w:r>
          <w:rPr>
            <w:b/>
            <w:color w:val="0000FF"/>
            <w:sz w:val="32"/>
            <w:u w:val="thick" w:color="0000FF"/>
          </w:rPr>
          <w:t>NFDRS Fire Weather Station List</w:t>
        </w:r>
      </w:hyperlink>
    </w:p>
    <w:p>
      <w:pPr>
        <w:pStyle w:val="BodyText"/>
        <w:spacing w:before="4"/>
        <w:rPr>
          <w:b/>
        </w:rPr>
      </w:pPr>
    </w:p>
    <w:p>
      <w:pPr>
        <w:spacing w:before="89"/>
        <w:ind w:left="1380" w:right="907" w:firstLine="0"/>
        <w:jc w:val="left"/>
        <w:rPr>
          <w:b/>
          <w:sz w:val="32"/>
        </w:rPr>
      </w:pPr>
      <w:r>
        <w:rPr>
          <w:b/>
          <w:sz w:val="32"/>
        </w:rPr>
        <w:t>Appendix 3: </w:t>
      </w:r>
      <w:hyperlink w:history="true" w:anchor="_bookmark16">
        <w:r>
          <w:rPr>
            <w:b/>
            <w:color w:val="0000FF"/>
            <w:sz w:val="32"/>
            <w:u w:val="thick" w:color="0000FF"/>
          </w:rPr>
          <w:t>Methodology for Verification of a Red Flag</w:t>
        </w:r>
      </w:hyperlink>
      <w:r>
        <w:rPr>
          <w:b/>
          <w:color w:val="0000FF"/>
          <w:sz w:val="32"/>
        </w:rPr>
        <w:t> </w:t>
      </w:r>
      <w:hyperlink w:history="true" w:anchor="_bookmark16">
        <w:r>
          <w:rPr>
            <w:b/>
            <w:color w:val="0000FF"/>
            <w:sz w:val="32"/>
            <w:u w:val="thick" w:color="0000FF"/>
          </w:rPr>
          <w:t>Warning issued for Wind and Low Humidity</w:t>
        </w:r>
      </w:hyperlink>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0"/>
        </w:rPr>
      </w:pPr>
    </w:p>
    <w:p>
      <w:pPr>
        <w:pStyle w:val="Heading6"/>
        <w:spacing w:line="322" w:lineRule="exact" w:before="92"/>
        <w:ind w:left="340"/>
        <w:jc w:val="center"/>
      </w:pPr>
      <w:bookmarkStart w:name="_bookmark14" w:id="108"/>
      <w:bookmarkEnd w:id="108"/>
      <w:r>
        <w:rPr>
          <w:b w:val="0"/>
        </w:rPr>
      </w:r>
      <w:r>
        <w:rPr/>
        <w:t>Appendix 1</w:t>
      </w:r>
    </w:p>
    <w:p>
      <w:pPr>
        <w:spacing w:line="322" w:lineRule="exact" w:before="0"/>
        <w:ind w:left="2379" w:right="0" w:firstLine="0"/>
        <w:jc w:val="left"/>
        <w:rPr>
          <w:b/>
          <w:sz w:val="28"/>
        </w:rPr>
      </w:pPr>
      <w:r>
        <w:rPr>
          <w:b/>
          <w:sz w:val="28"/>
        </w:rPr>
        <w:t>FIRE WEATHER ZONE BOUNDARY DESCRIPTIONS</w:t>
      </w:r>
    </w:p>
    <w:p>
      <w:pPr>
        <w:pStyle w:val="BodyText"/>
        <w:spacing w:before="10"/>
        <w:rPr>
          <w:b/>
          <w:sz w:val="23"/>
        </w:rPr>
      </w:pPr>
    </w:p>
    <w:p>
      <w:pPr>
        <w:pStyle w:val="Heading8"/>
        <w:spacing w:before="1"/>
        <w:ind w:left="1380"/>
        <w:rPr>
          <w:b w:val="0"/>
        </w:rPr>
      </w:pPr>
      <w:r>
        <w:rPr/>
        <w:t>Zone 649 </w:t>
      </w:r>
      <w:r>
        <w:rPr>
          <w:b w:val="0"/>
        </w:rPr>
        <w:t>– </w:t>
      </w:r>
      <w:r>
        <w:rPr/>
        <w:t>The North and Central Coastal Strip</w:t>
      </w:r>
      <w:r>
        <w:rPr>
          <w:b w:val="0"/>
        </w:rPr>
        <w:t>:</w:t>
      </w:r>
    </w:p>
    <w:p>
      <w:pPr>
        <w:pStyle w:val="BodyText"/>
        <w:ind w:left="1380" w:right="1181"/>
      </w:pPr>
      <w:r>
        <w:rPr/>
        <w:t>Zone 649 contains land from the Pacific Coastline (including the eastern shores of Grays Harbor) to 5 miles inland, within Clallam, Jefferson and Grays Harbor Counties.</w:t>
      </w:r>
    </w:p>
    <w:p>
      <w:pPr>
        <w:pStyle w:val="BodyText"/>
      </w:pPr>
    </w:p>
    <w:p>
      <w:pPr>
        <w:pStyle w:val="Heading8"/>
        <w:ind w:left="1380"/>
        <w:rPr>
          <w:b w:val="0"/>
        </w:rPr>
      </w:pPr>
      <w:r>
        <w:rPr/>
        <w:t>Zone 650 – The North Coastal Lowlands</w:t>
      </w:r>
      <w:r>
        <w:rPr>
          <w:b w:val="0"/>
        </w:rPr>
        <w:t>:</w:t>
      </w:r>
    </w:p>
    <w:p>
      <w:pPr>
        <w:pStyle w:val="BodyText"/>
        <w:ind w:left="1380" w:right="1395"/>
      </w:pPr>
      <w:r>
        <w:rPr/>
        <w:t>Zone 650 contains land from 5 miles inland of the coast to an elevation of 1,500 feet on the west side of the Olympic Mountains. The area includes the Calawah, Bogachiel, Hoh, Clearwater, Queets, Quinault, and the Humptulips River drainages. The southern boundary follows the Humtulips River. The northern boundary reaches the Strait of Juan de Fuca from Neah Bay to west of Sekiu.</w:t>
      </w:r>
    </w:p>
    <w:p>
      <w:pPr>
        <w:pStyle w:val="BodyText"/>
      </w:pPr>
    </w:p>
    <w:p>
      <w:pPr>
        <w:pStyle w:val="Heading8"/>
        <w:ind w:left="1380"/>
        <w:rPr>
          <w:b w:val="0"/>
        </w:rPr>
      </w:pPr>
      <w:r>
        <w:rPr/>
        <w:t>Zone 651 – The Central Coastal Lowlands</w:t>
      </w:r>
      <w:r>
        <w:rPr>
          <w:b w:val="0"/>
        </w:rPr>
        <w:t>:</w:t>
      </w:r>
    </w:p>
    <w:p>
      <w:pPr>
        <w:pStyle w:val="BodyText"/>
        <w:ind w:left="1380" w:right="1208"/>
      </w:pPr>
      <w:r>
        <w:rPr/>
        <w:t>The western boundary of Zone 651 follows the Humptulips River and the eastern boundary of Zone 649 in Grays Harbor County. The 1,500-foot contour interval on the south side of the Olympic Mountains forms the northern border of Zone 651.</w:t>
      </w:r>
    </w:p>
    <w:p>
      <w:pPr>
        <w:pStyle w:val="BodyText"/>
        <w:ind w:left="1380" w:right="1022"/>
      </w:pPr>
      <w:r>
        <w:rPr/>
        <w:t>The Grays Harbor - Pacific county line forms the southern boundary. The eastern border follows the West Fork of the Satsop River south across US Highway 12 near the town of Satsop, continuing south along the west side of the Lower Chehalis State Forest.</w:t>
      </w:r>
    </w:p>
    <w:p>
      <w:pPr>
        <w:pStyle w:val="BodyText"/>
      </w:pPr>
    </w:p>
    <w:p>
      <w:pPr>
        <w:pStyle w:val="Heading8"/>
        <w:ind w:left="1380"/>
        <w:rPr>
          <w:b w:val="0"/>
        </w:rPr>
      </w:pPr>
      <w:r>
        <w:rPr/>
        <w:t>Zone 652 – The West Portion of the Olympic Mountains</w:t>
      </w:r>
      <w:r>
        <w:rPr>
          <w:b w:val="0"/>
        </w:rPr>
        <w:t>:</w:t>
      </w:r>
    </w:p>
    <w:p>
      <w:pPr>
        <w:pStyle w:val="BodyText"/>
        <w:ind w:left="1380" w:right="1060"/>
      </w:pPr>
      <w:r>
        <w:rPr/>
        <w:t>Zone 652 includes land at or above 1,500 feet on the west-southwest facing side of the Olympic Mountains in Clallam and Jefferson counties, and the far northeast corner of Grays Harbor County. The area includes the Pacific Ranger District of the Olympic National Forest. Zone 652 represents the wetter, west side of the Olympic Mountains with a greater influence of marine air. The area includes all lands at or</w:t>
      </w:r>
    </w:p>
    <w:p>
      <w:pPr>
        <w:spacing w:after="0"/>
        <w:sectPr>
          <w:pgSz w:w="12240" w:h="15840"/>
          <w:pgMar w:header="0" w:footer="968" w:top="1280" w:bottom="1200" w:left="340" w:right="620"/>
        </w:sectPr>
      </w:pPr>
    </w:p>
    <w:p>
      <w:pPr>
        <w:pStyle w:val="BodyText"/>
        <w:spacing w:before="76"/>
        <w:ind w:left="1380" w:right="1343"/>
      </w:pPr>
      <w:r>
        <w:rPr/>
        <w:t>above 1,500 feet drained by the Calawah, Sitkum, Bogachiel, Hoh, Clearwater, Queets, Quinault, and Humptulips rivers in Clallam, Jefferson, and Grays Harbor counties.</w:t>
      </w:r>
    </w:p>
    <w:p>
      <w:pPr>
        <w:pStyle w:val="BodyText"/>
      </w:pPr>
    </w:p>
    <w:p>
      <w:pPr>
        <w:pStyle w:val="BodyText"/>
        <w:ind w:left="1380" w:right="1195"/>
      </w:pPr>
      <w:r>
        <w:rPr>
          <w:b/>
        </w:rPr>
        <w:t>Zone 661 – The East Portion of the Olympic Mountains</w:t>
      </w:r>
      <w:r>
        <w:rPr/>
        <w:t>: Zone 661 includes land at or above 1,500 feet on the east side of the Olympic Mountains. Zone 661 represents the drier side of the Olympic Mountains, experiencing less rainfall, less influence of marine air, and a higher occurrence of lightning activity. The area includes land drained by the Wynoochee, Satsop, North and South Fork Skokomish, Hamma Hamma, Duckabush, Dosewallips, Quilcene, Dungeness, Elwha, and upper portions of the Sol Duc Rivers.</w:t>
      </w:r>
    </w:p>
    <w:p>
      <w:pPr>
        <w:pStyle w:val="BodyText"/>
      </w:pPr>
    </w:p>
    <w:p>
      <w:pPr>
        <w:spacing w:before="0"/>
        <w:ind w:left="1380" w:right="1054" w:firstLine="0"/>
        <w:jc w:val="left"/>
        <w:rPr>
          <w:sz w:val="24"/>
        </w:rPr>
      </w:pPr>
      <w:r>
        <w:rPr>
          <w:b/>
          <w:sz w:val="24"/>
        </w:rPr>
        <w:t>Zone 653 – The Strait of Juan de Fuca, the San Juan Islands and the Northwest Interior Lowlands</w:t>
      </w:r>
      <w:r>
        <w:rPr>
          <w:sz w:val="24"/>
        </w:rPr>
        <w:t>: Zone 653 includes all land below 1,500 feet on the north side of the Olympic Peninsula from Sekiu on the west to Port Ludlow on the east. Zone 653 also includes land along and west of I-5 in Snohomish, Skagit and Whatcom Counties, as well Whidbey Island, Camano Island, and all of the San Juan Islands.</w:t>
      </w:r>
    </w:p>
    <w:p>
      <w:pPr>
        <w:pStyle w:val="BodyText"/>
        <w:spacing w:before="10"/>
        <w:rPr>
          <w:sz w:val="23"/>
        </w:rPr>
      </w:pPr>
    </w:p>
    <w:p>
      <w:pPr>
        <w:pStyle w:val="Heading8"/>
        <w:ind w:left="1380"/>
        <w:rPr>
          <w:b w:val="0"/>
        </w:rPr>
      </w:pPr>
      <w:r>
        <w:rPr/>
        <w:t>Zone 654 – The Central and South Puget Sound Lowlands</w:t>
      </w:r>
      <w:r>
        <w:rPr>
          <w:b w:val="0"/>
        </w:rPr>
        <w:t>:</w:t>
      </w:r>
    </w:p>
    <w:p>
      <w:pPr>
        <w:pStyle w:val="BodyText"/>
        <w:ind w:left="1380" w:right="1114"/>
      </w:pPr>
      <w:r>
        <w:rPr/>
        <w:t>Zone 654 represents land near Puget Sound and Hood Canal in Jefferson, Mason, Thurston, Pierce, King and Kitsap Counties. Zone 654 includes the entire Kitsap Peninsula. The western border follows the 1,500-foot contour on the west side of Hood Canal. The eastern and southern borders are near I-5 in King, Pierce, and Thurston Counties to Olympia. The southwest boundary runs northwest along U.S. Highway 101 from Olympia through Shelton to the southeast corner of Olympic National Forest.</w:t>
      </w:r>
    </w:p>
    <w:p>
      <w:pPr>
        <w:pStyle w:val="BodyText"/>
      </w:pPr>
    </w:p>
    <w:p>
      <w:pPr>
        <w:pStyle w:val="Heading8"/>
        <w:ind w:left="1380"/>
        <w:rPr>
          <w:b w:val="0"/>
        </w:rPr>
      </w:pPr>
      <w:r>
        <w:rPr/>
        <w:t>Zone 655 – The Black Hills and the Southwest Interior Lowlands</w:t>
      </w:r>
      <w:r>
        <w:rPr>
          <w:b w:val="0"/>
        </w:rPr>
        <w:t>:</w:t>
      </w:r>
    </w:p>
    <w:p>
      <w:pPr>
        <w:pStyle w:val="BodyText"/>
        <w:ind w:left="1380" w:right="1049"/>
      </w:pPr>
      <w:r>
        <w:rPr/>
        <w:t>The western border of Zone 655 follows the West Fork of the Satsop River south across US Highway 12 near the town of Satsop, continuing south along the west side of the Lower Chehalis State Forest. The boundary continues southeast through Pe El to Vader in Lewis County. The boundary then turns east along the Lewis-Cowlitz County line to the 1,500-foot contour along the west slopes of the Cascades. The boundary turns north, wrapping around the Cowlitz River Valley, then north along the 1,500-foot contour to the location where Pierce, Thurston, and Lewis Counties meet near Alder Lake. It then follows the Pierce-Thurston County line northwest to I-5, then west along I-5 and US Highway 101 through Olympia, Shelton, and on to the southeast corner of Olympic National Forest. Zone 655 includes Capitol and Lower Chehalis State Forests, as well as the I-5 corridor south of Olympia through Lewis</w:t>
      </w:r>
      <w:r>
        <w:rPr>
          <w:spacing w:val="0"/>
        </w:rPr>
        <w:t> </w:t>
      </w:r>
      <w:r>
        <w:rPr/>
        <w:t>County.</w:t>
      </w:r>
    </w:p>
    <w:p>
      <w:pPr>
        <w:pStyle w:val="BodyText"/>
      </w:pPr>
    </w:p>
    <w:p>
      <w:pPr>
        <w:spacing w:before="0"/>
        <w:ind w:left="1380" w:right="1315" w:firstLine="0"/>
        <w:jc w:val="left"/>
        <w:rPr>
          <w:sz w:val="24"/>
        </w:rPr>
      </w:pPr>
      <w:r>
        <w:rPr>
          <w:b/>
          <w:sz w:val="24"/>
        </w:rPr>
        <w:t>Zone 656 – Northeast Puget Sound Lowlands Generally Below 1500 Feet</w:t>
      </w:r>
      <w:r>
        <w:rPr>
          <w:sz w:val="24"/>
        </w:rPr>
        <w:t>: Zone 656 includes land in Whatcom, Skagit, and Snohomish Counties east of I-5 below an elevation of 1,500 feet. This includes the following river drainages: Nooksack, Skagit, Sauk, Stillaguamish, and the Skykomish east to the town of Skykomish.</w:t>
      </w:r>
    </w:p>
    <w:p>
      <w:pPr>
        <w:spacing w:after="0"/>
        <w:jc w:val="left"/>
        <w:rPr>
          <w:sz w:val="24"/>
        </w:rPr>
        <w:sectPr>
          <w:pgSz w:w="12240" w:h="15840"/>
          <w:pgMar w:header="0" w:footer="968" w:top="1280" w:bottom="1240" w:left="340" w:right="620"/>
        </w:sectPr>
      </w:pPr>
    </w:p>
    <w:p>
      <w:pPr>
        <w:spacing w:before="132"/>
        <w:ind w:left="1380" w:right="1141" w:firstLine="0"/>
        <w:jc w:val="left"/>
        <w:rPr>
          <w:sz w:val="24"/>
        </w:rPr>
      </w:pPr>
      <w:r>
        <w:rPr>
          <w:b/>
          <w:sz w:val="24"/>
        </w:rPr>
        <w:t>Zone 657 – Southeast Puget Sound Lowlands Generally Below 1500 Feet</w:t>
      </w:r>
      <w:r>
        <w:rPr>
          <w:sz w:val="24"/>
        </w:rPr>
        <w:t>: Zone 657 includes land below 1,500 feet east of I-5 in King and Pierce Counties. It includes the following river drainages: North, Middle and South Forks of the Snoqualmie, Green, White, Puyallup, and the Nisqually from Elbe to Ashford.</w:t>
      </w:r>
    </w:p>
    <w:p>
      <w:pPr>
        <w:pStyle w:val="BodyText"/>
      </w:pPr>
    </w:p>
    <w:p>
      <w:pPr>
        <w:pStyle w:val="BodyText"/>
        <w:ind w:left="1380" w:right="1034"/>
      </w:pPr>
      <w:r>
        <w:rPr>
          <w:b/>
        </w:rPr>
        <w:t>Zone 658 –West Slopes of the North Cascades Generally Above 1500 Feet</w:t>
      </w:r>
      <w:r>
        <w:rPr/>
        <w:t>: Zone 658 includes land at or above 1,500 feet in Whatcom, Skagit, Snohomish, and the northeast corner of King County in the Skykomish River drainage. The area includes the North Cascades National Park and the Ross Lake National Recreational Area; and the Mt. Baker, Darrington, and Skykomish Ranger Districts of the Mt. Baker-Snoqualmie National Forest. The eastern boundary is the Cascade</w:t>
      </w:r>
      <w:r>
        <w:rPr>
          <w:spacing w:val="-2"/>
        </w:rPr>
        <w:t> </w:t>
      </w:r>
      <w:r>
        <w:rPr/>
        <w:t>crest.</w:t>
      </w:r>
    </w:p>
    <w:p>
      <w:pPr>
        <w:pStyle w:val="BodyText"/>
      </w:pPr>
    </w:p>
    <w:p>
      <w:pPr>
        <w:pStyle w:val="BodyText"/>
        <w:ind w:left="1380" w:right="1087"/>
      </w:pPr>
      <w:r>
        <w:rPr>
          <w:b/>
        </w:rPr>
        <w:t>Zone 659 –West Slopes of the Central Cascades Generally Above 1500 Feet</w:t>
      </w:r>
      <w:r>
        <w:rPr/>
        <w:t>: Zone 659 includes land at or above 1,500 feet in King, Pierce, and Lewis Counties, and the extreme northern portion of Skamania County. This includes the North Bend and White River Ranger Districts of the Mt. Baker-Snoqualmie National Forest, Mt. Rainier National Park, and the Cowlitz Valley Ranger District of the Gifford Pinchot National Forest. The eastern boundary is the Cascade crest.</w:t>
      </w:r>
    </w:p>
    <w:p>
      <w:pPr>
        <w:pStyle w:val="BodyText"/>
        <w:spacing w:before="10"/>
        <w:rPr>
          <w:sz w:val="23"/>
        </w:rPr>
      </w:pPr>
    </w:p>
    <w:p>
      <w:pPr>
        <w:pStyle w:val="Heading8"/>
        <w:ind w:left="1380" w:right="1344"/>
        <w:rPr>
          <w:b w:val="0"/>
        </w:rPr>
      </w:pPr>
      <w:r>
        <w:rPr/>
        <w:t>Zone 662 – The East Portion of North Cascades National Park and the Lake Chelan National Recreational Area</w:t>
      </w:r>
      <w:r>
        <w:rPr>
          <w:b w:val="0"/>
        </w:rPr>
        <w:t>:</w:t>
      </w:r>
    </w:p>
    <w:p>
      <w:pPr>
        <w:pStyle w:val="BodyText"/>
        <w:ind w:left="1380" w:right="1127"/>
      </w:pPr>
      <w:r>
        <w:rPr/>
        <w:t>Zone 662 includes the North Cascades National Park Complex east of the Cascade crest in Chelan County, including Stehekin and the Lake Chelan National Recreational Area.</w:t>
      </w:r>
    </w:p>
    <w:p>
      <w:pPr>
        <w:pStyle w:val="BodyText"/>
        <w:spacing w:before="3"/>
        <w:rPr>
          <w:sz w:val="28"/>
        </w:rPr>
      </w:pPr>
    </w:p>
    <w:p>
      <w:pPr>
        <w:pStyle w:val="Heading6"/>
        <w:spacing w:line="322" w:lineRule="exact"/>
        <w:ind w:left="340"/>
        <w:jc w:val="center"/>
      </w:pPr>
      <w:bookmarkStart w:name="_bookmark15" w:id="109"/>
      <w:bookmarkEnd w:id="109"/>
      <w:r>
        <w:rPr>
          <w:b w:val="0"/>
        </w:rPr>
      </w:r>
      <w:r>
        <w:rPr/>
        <w:t>Appendix 2</w:t>
      </w:r>
    </w:p>
    <w:p>
      <w:pPr>
        <w:spacing w:line="322" w:lineRule="exact" w:before="0"/>
        <w:ind w:left="340" w:right="0" w:firstLine="0"/>
        <w:jc w:val="center"/>
        <w:rPr>
          <w:b/>
          <w:sz w:val="28"/>
        </w:rPr>
      </w:pPr>
      <w:r>
        <w:rPr>
          <w:b/>
          <w:sz w:val="28"/>
          <w:u w:val="thick"/>
        </w:rPr>
        <w:t>2018 NWS Seattle NFDRS Station Index</w:t>
      </w:r>
    </w:p>
    <w:p>
      <w:pPr>
        <w:pStyle w:val="BodyText"/>
        <w:rPr>
          <w:b/>
          <w:sz w:val="20"/>
        </w:rPr>
      </w:pPr>
    </w:p>
    <w:p>
      <w:pPr>
        <w:pStyle w:val="BodyText"/>
        <w:spacing w:before="4"/>
        <w:rPr>
          <w:b/>
          <w:sz w:val="20"/>
        </w:rPr>
      </w:pPr>
    </w:p>
    <w:tbl>
      <w:tblPr>
        <w:tblW w:w="0" w:type="auto"/>
        <w:jc w:val="left"/>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1836"/>
        <w:gridCol w:w="900"/>
        <w:gridCol w:w="1349"/>
        <w:gridCol w:w="1171"/>
        <w:gridCol w:w="900"/>
        <w:gridCol w:w="989"/>
        <w:gridCol w:w="828"/>
      </w:tblGrid>
      <w:tr>
        <w:trPr>
          <w:trHeight w:val="851" w:hRule="atLeast"/>
        </w:trPr>
        <w:tc>
          <w:tcPr>
            <w:tcW w:w="883" w:type="dxa"/>
          </w:tcPr>
          <w:p>
            <w:pPr>
              <w:pStyle w:val="TableParagraph"/>
              <w:spacing w:before="7"/>
              <w:rPr>
                <w:b/>
                <w:sz w:val="23"/>
              </w:rPr>
            </w:pPr>
          </w:p>
          <w:p>
            <w:pPr>
              <w:pStyle w:val="TableParagraph"/>
              <w:ind w:left="87" w:right="79"/>
              <w:jc w:val="center"/>
              <w:rPr>
                <w:b/>
                <w:sz w:val="24"/>
              </w:rPr>
            </w:pPr>
            <w:r>
              <w:rPr>
                <w:b/>
                <w:sz w:val="24"/>
              </w:rPr>
              <w:t>ZONE</w:t>
            </w:r>
          </w:p>
        </w:tc>
        <w:tc>
          <w:tcPr>
            <w:tcW w:w="1836" w:type="dxa"/>
          </w:tcPr>
          <w:p>
            <w:pPr>
              <w:pStyle w:val="TableParagraph"/>
              <w:spacing w:before="7"/>
              <w:rPr>
                <w:b/>
                <w:sz w:val="23"/>
              </w:rPr>
            </w:pPr>
          </w:p>
          <w:p>
            <w:pPr>
              <w:pStyle w:val="TableParagraph"/>
              <w:ind w:left="563"/>
              <w:rPr>
                <w:b/>
                <w:sz w:val="24"/>
              </w:rPr>
            </w:pPr>
            <w:r>
              <w:rPr>
                <w:b/>
                <w:sz w:val="24"/>
              </w:rPr>
              <w:t>NAME</w:t>
            </w:r>
          </w:p>
        </w:tc>
        <w:tc>
          <w:tcPr>
            <w:tcW w:w="900" w:type="dxa"/>
          </w:tcPr>
          <w:p>
            <w:pPr>
              <w:pStyle w:val="TableParagraph"/>
              <w:spacing w:before="5"/>
              <w:rPr>
                <w:b/>
                <w:sz w:val="20"/>
              </w:rPr>
            </w:pPr>
          </w:p>
          <w:p>
            <w:pPr>
              <w:pStyle w:val="TableParagraph"/>
              <w:ind w:left="113" w:right="109"/>
              <w:jc w:val="center"/>
              <w:rPr>
                <w:b/>
                <w:sz w:val="24"/>
              </w:rPr>
            </w:pPr>
            <w:r>
              <w:rPr>
                <w:b/>
                <w:sz w:val="24"/>
              </w:rPr>
              <w:t>TYPE</w:t>
            </w:r>
          </w:p>
        </w:tc>
        <w:tc>
          <w:tcPr>
            <w:tcW w:w="1349" w:type="dxa"/>
          </w:tcPr>
          <w:p>
            <w:pPr>
              <w:pStyle w:val="TableParagraph"/>
              <w:ind w:left="143" w:right="122" w:firstLine="201"/>
              <w:rPr>
                <w:b/>
                <w:sz w:val="24"/>
              </w:rPr>
            </w:pPr>
            <w:r>
              <w:rPr>
                <w:b/>
                <w:sz w:val="24"/>
              </w:rPr>
              <w:t>WIMS NUMBER</w:t>
            </w:r>
          </w:p>
        </w:tc>
        <w:tc>
          <w:tcPr>
            <w:tcW w:w="1171" w:type="dxa"/>
          </w:tcPr>
          <w:p>
            <w:pPr>
              <w:pStyle w:val="TableParagraph"/>
              <w:spacing w:before="5"/>
              <w:rPr>
                <w:b/>
                <w:sz w:val="20"/>
              </w:rPr>
            </w:pPr>
          </w:p>
          <w:p>
            <w:pPr>
              <w:pStyle w:val="TableParagraph"/>
              <w:ind w:left="105" w:right="95"/>
              <w:jc w:val="center"/>
              <w:rPr>
                <w:b/>
                <w:sz w:val="24"/>
              </w:rPr>
            </w:pPr>
            <w:r>
              <w:rPr>
                <w:b/>
                <w:sz w:val="24"/>
              </w:rPr>
              <w:t>OWNER</w:t>
            </w:r>
          </w:p>
        </w:tc>
        <w:tc>
          <w:tcPr>
            <w:tcW w:w="900" w:type="dxa"/>
          </w:tcPr>
          <w:p>
            <w:pPr>
              <w:pStyle w:val="TableParagraph"/>
              <w:spacing w:before="5"/>
              <w:rPr>
                <w:b/>
                <w:sz w:val="20"/>
              </w:rPr>
            </w:pPr>
          </w:p>
          <w:p>
            <w:pPr>
              <w:pStyle w:val="TableParagraph"/>
              <w:ind w:left="111" w:right="109"/>
              <w:jc w:val="center"/>
              <w:rPr>
                <w:b/>
                <w:i/>
                <w:sz w:val="24"/>
              </w:rPr>
            </w:pPr>
            <w:r>
              <w:rPr>
                <w:b/>
                <w:i/>
                <w:sz w:val="24"/>
              </w:rPr>
              <w:t>LAT</w:t>
            </w:r>
          </w:p>
        </w:tc>
        <w:tc>
          <w:tcPr>
            <w:tcW w:w="989" w:type="dxa"/>
          </w:tcPr>
          <w:p>
            <w:pPr>
              <w:pStyle w:val="TableParagraph"/>
              <w:spacing w:before="5"/>
              <w:rPr>
                <w:b/>
                <w:sz w:val="20"/>
              </w:rPr>
            </w:pPr>
          </w:p>
          <w:p>
            <w:pPr>
              <w:pStyle w:val="TableParagraph"/>
              <w:ind w:left="237"/>
              <w:rPr>
                <w:b/>
                <w:i/>
                <w:sz w:val="24"/>
              </w:rPr>
            </w:pPr>
            <w:r>
              <w:rPr>
                <w:b/>
                <w:i/>
                <w:sz w:val="24"/>
              </w:rPr>
              <w:t>LON</w:t>
            </w:r>
          </w:p>
        </w:tc>
        <w:tc>
          <w:tcPr>
            <w:tcW w:w="828" w:type="dxa"/>
          </w:tcPr>
          <w:p>
            <w:pPr>
              <w:pStyle w:val="TableParagraph"/>
              <w:spacing w:before="5"/>
              <w:rPr>
                <w:b/>
                <w:sz w:val="20"/>
              </w:rPr>
            </w:pPr>
          </w:p>
          <w:p>
            <w:pPr>
              <w:pStyle w:val="TableParagraph"/>
              <w:ind w:left="333" w:right="152" w:hanging="154"/>
              <w:rPr>
                <w:b/>
                <w:i/>
                <w:sz w:val="24"/>
              </w:rPr>
            </w:pPr>
            <w:r>
              <w:rPr>
                <w:b/>
                <w:i/>
                <w:sz w:val="24"/>
              </w:rPr>
              <w:t>ELE </w:t>
            </w:r>
            <w:r>
              <w:rPr>
                <w:b/>
                <w:i/>
                <w:sz w:val="24"/>
              </w:rPr>
              <w:t>V</w:t>
            </w:r>
          </w:p>
        </w:tc>
      </w:tr>
      <w:tr>
        <w:trPr>
          <w:trHeight w:val="458" w:hRule="atLeast"/>
        </w:trPr>
        <w:tc>
          <w:tcPr>
            <w:tcW w:w="883" w:type="dxa"/>
          </w:tcPr>
          <w:p>
            <w:pPr>
              <w:pStyle w:val="TableParagraph"/>
              <w:spacing w:line="225" w:lineRule="exact"/>
              <w:ind w:left="83" w:right="79"/>
              <w:jc w:val="center"/>
              <w:rPr>
                <w:b/>
                <w:sz w:val="20"/>
              </w:rPr>
            </w:pPr>
            <w:r>
              <w:rPr>
                <w:b/>
                <w:sz w:val="20"/>
              </w:rPr>
              <w:t>649</w:t>
            </w:r>
          </w:p>
        </w:tc>
        <w:tc>
          <w:tcPr>
            <w:tcW w:w="1836" w:type="dxa"/>
          </w:tcPr>
          <w:p>
            <w:pPr>
              <w:pStyle w:val="TableParagraph"/>
              <w:spacing w:line="227" w:lineRule="exact"/>
              <w:ind w:left="107"/>
              <w:rPr>
                <w:sz w:val="20"/>
              </w:rPr>
            </w:pPr>
            <w:r>
              <w:rPr>
                <w:sz w:val="20"/>
              </w:rPr>
              <w:t>Quillayute</w:t>
            </w:r>
          </w:p>
        </w:tc>
        <w:tc>
          <w:tcPr>
            <w:tcW w:w="900" w:type="dxa"/>
          </w:tcPr>
          <w:p>
            <w:pPr>
              <w:pStyle w:val="TableParagraph"/>
              <w:spacing w:line="227" w:lineRule="exact"/>
              <w:ind w:left="110" w:right="109"/>
              <w:jc w:val="center"/>
              <w:rPr>
                <w:sz w:val="20"/>
              </w:rPr>
            </w:pPr>
            <w:r>
              <w:rPr>
                <w:sz w:val="20"/>
              </w:rPr>
              <w:t>Metar</w:t>
            </w:r>
          </w:p>
        </w:tc>
        <w:tc>
          <w:tcPr>
            <w:tcW w:w="1349" w:type="dxa"/>
          </w:tcPr>
          <w:p>
            <w:pPr>
              <w:pStyle w:val="TableParagraph"/>
              <w:spacing w:line="227" w:lineRule="exact"/>
              <w:ind w:right="334"/>
              <w:jc w:val="right"/>
              <w:rPr>
                <w:sz w:val="20"/>
              </w:rPr>
            </w:pPr>
            <w:r>
              <w:rPr>
                <w:sz w:val="20"/>
              </w:rPr>
              <w:t>450120</w:t>
            </w:r>
          </w:p>
        </w:tc>
        <w:tc>
          <w:tcPr>
            <w:tcW w:w="1171" w:type="dxa"/>
          </w:tcPr>
          <w:p>
            <w:pPr>
              <w:pStyle w:val="TableParagraph"/>
              <w:spacing w:line="227" w:lineRule="exact"/>
              <w:ind w:left="100" w:right="95"/>
              <w:jc w:val="center"/>
              <w:rPr>
                <w:sz w:val="20"/>
              </w:rPr>
            </w:pPr>
            <w:r>
              <w:rPr>
                <w:sz w:val="20"/>
              </w:rPr>
              <w:t>DNR</w:t>
            </w:r>
          </w:p>
        </w:tc>
        <w:tc>
          <w:tcPr>
            <w:tcW w:w="900" w:type="dxa"/>
          </w:tcPr>
          <w:p>
            <w:pPr>
              <w:pStyle w:val="TableParagraph"/>
              <w:spacing w:line="227" w:lineRule="exact"/>
              <w:ind w:left="111" w:right="109"/>
              <w:jc w:val="center"/>
              <w:rPr>
                <w:sz w:val="20"/>
              </w:rPr>
            </w:pPr>
            <w:r>
              <w:rPr>
                <w:sz w:val="20"/>
              </w:rPr>
              <w:t>47.938</w:t>
            </w:r>
          </w:p>
        </w:tc>
        <w:tc>
          <w:tcPr>
            <w:tcW w:w="989" w:type="dxa"/>
          </w:tcPr>
          <w:p>
            <w:pPr>
              <w:pStyle w:val="TableParagraph"/>
              <w:spacing w:line="230" w:lineRule="exact"/>
              <w:ind w:left="129" w:firstLine="328"/>
              <w:rPr>
                <w:sz w:val="20"/>
              </w:rPr>
            </w:pPr>
            <w:r>
              <w:rPr>
                <w:sz w:val="20"/>
              </w:rPr>
              <w:t>- </w:t>
            </w:r>
            <w:r>
              <w:rPr>
                <w:w w:val="95"/>
                <w:sz w:val="20"/>
              </w:rPr>
              <w:t>124.555</w:t>
            </w:r>
          </w:p>
        </w:tc>
        <w:tc>
          <w:tcPr>
            <w:tcW w:w="828" w:type="dxa"/>
          </w:tcPr>
          <w:p>
            <w:pPr>
              <w:pStyle w:val="TableParagraph"/>
              <w:spacing w:line="227" w:lineRule="exact"/>
              <w:ind w:right="237"/>
              <w:jc w:val="right"/>
              <w:rPr>
                <w:sz w:val="20"/>
              </w:rPr>
            </w:pPr>
            <w:r>
              <w:rPr>
                <w:w w:val="95"/>
                <w:sz w:val="20"/>
              </w:rPr>
              <w:t>194</w:t>
            </w:r>
          </w:p>
        </w:tc>
      </w:tr>
      <w:tr>
        <w:trPr>
          <w:trHeight w:val="458" w:hRule="atLeast"/>
        </w:trPr>
        <w:tc>
          <w:tcPr>
            <w:tcW w:w="883" w:type="dxa"/>
          </w:tcPr>
          <w:p>
            <w:pPr>
              <w:pStyle w:val="TableParagraph"/>
              <w:rPr>
                <w:rFonts w:ascii="Times New Roman"/>
                <w:sz w:val="22"/>
              </w:rPr>
            </w:pPr>
          </w:p>
        </w:tc>
        <w:tc>
          <w:tcPr>
            <w:tcW w:w="1836" w:type="dxa"/>
          </w:tcPr>
          <w:p>
            <w:pPr>
              <w:pStyle w:val="TableParagraph"/>
              <w:spacing w:line="227" w:lineRule="exact"/>
              <w:ind w:left="107"/>
              <w:rPr>
                <w:sz w:val="20"/>
              </w:rPr>
            </w:pPr>
            <w:r>
              <w:rPr>
                <w:sz w:val="20"/>
              </w:rPr>
              <w:t>Hoquiam</w:t>
            </w:r>
          </w:p>
        </w:tc>
        <w:tc>
          <w:tcPr>
            <w:tcW w:w="900" w:type="dxa"/>
          </w:tcPr>
          <w:p>
            <w:pPr>
              <w:pStyle w:val="TableParagraph"/>
              <w:spacing w:line="227" w:lineRule="exact"/>
              <w:ind w:left="110" w:right="109"/>
              <w:jc w:val="center"/>
              <w:rPr>
                <w:sz w:val="20"/>
              </w:rPr>
            </w:pPr>
            <w:r>
              <w:rPr>
                <w:sz w:val="20"/>
              </w:rPr>
              <w:t>Metar</w:t>
            </w:r>
          </w:p>
        </w:tc>
        <w:tc>
          <w:tcPr>
            <w:tcW w:w="1349" w:type="dxa"/>
          </w:tcPr>
          <w:p>
            <w:pPr>
              <w:pStyle w:val="TableParagraph"/>
              <w:spacing w:line="227" w:lineRule="exact"/>
              <w:ind w:right="334"/>
              <w:jc w:val="right"/>
              <w:rPr>
                <w:sz w:val="20"/>
              </w:rPr>
            </w:pPr>
            <w:r>
              <w:rPr>
                <w:sz w:val="20"/>
              </w:rPr>
              <w:t>450314</w:t>
            </w:r>
          </w:p>
        </w:tc>
        <w:tc>
          <w:tcPr>
            <w:tcW w:w="1171" w:type="dxa"/>
          </w:tcPr>
          <w:p>
            <w:pPr>
              <w:pStyle w:val="TableParagraph"/>
              <w:spacing w:line="227" w:lineRule="exact"/>
              <w:ind w:left="100" w:right="95"/>
              <w:jc w:val="center"/>
              <w:rPr>
                <w:sz w:val="20"/>
              </w:rPr>
            </w:pPr>
            <w:r>
              <w:rPr>
                <w:sz w:val="20"/>
              </w:rPr>
              <w:t>DNR</w:t>
            </w:r>
          </w:p>
        </w:tc>
        <w:tc>
          <w:tcPr>
            <w:tcW w:w="900" w:type="dxa"/>
          </w:tcPr>
          <w:p>
            <w:pPr>
              <w:pStyle w:val="TableParagraph"/>
              <w:spacing w:line="227" w:lineRule="exact"/>
              <w:ind w:left="111" w:right="109"/>
              <w:jc w:val="center"/>
              <w:rPr>
                <w:sz w:val="20"/>
              </w:rPr>
            </w:pPr>
            <w:r>
              <w:rPr>
                <w:sz w:val="20"/>
              </w:rPr>
              <w:t>46.971</w:t>
            </w:r>
          </w:p>
        </w:tc>
        <w:tc>
          <w:tcPr>
            <w:tcW w:w="989" w:type="dxa"/>
          </w:tcPr>
          <w:p>
            <w:pPr>
              <w:pStyle w:val="TableParagraph"/>
              <w:spacing w:line="228" w:lineRule="exact" w:before="2"/>
              <w:ind w:left="129" w:firstLine="328"/>
              <w:rPr>
                <w:sz w:val="20"/>
              </w:rPr>
            </w:pPr>
            <w:r>
              <w:rPr>
                <w:sz w:val="20"/>
              </w:rPr>
              <w:t>- </w:t>
            </w:r>
            <w:r>
              <w:rPr>
                <w:w w:val="95"/>
                <w:sz w:val="20"/>
              </w:rPr>
              <w:t>123.933</w:t>
            </w:r>
          </w:p>
        </w:tc>
        <w:tc>
          <w:tcPr>
            <w:tcW w:w="828" w:type="dxa"/>
          </w:tcPr>
          <w:p>
            <w:pPr>
              <w:pStyle w:val="TableParagraph"/>
              <w:spacing w:line="227" w:lineRule="exact"/>
              <w:ind w:left="281" w:right="274"/>
              <w:jc w:val="center"/>
              <w:rPr>
                <w:sz w:val="20"/>
              </w:rPr>
            </w:pPr>
            <w:r>
              <w:rPr>
                <w:sz w:val="20"/>
              </w:rPr>
              <w:t>18</w:t>
            </w:r>
          </w:p>
        </w:tc>
      </w:tr>
      <w:tr>
        <w:trPr>
          <w:trHeight w:val="460" w:hRule="atLeast"/>
        </w:trPr>
        <w:tc>
          <w:tcPr>
            <w:tcW w:w="883" w:type="dxa"/>
          </w:tcPr>
          <w:p>
            <w:pPr>
              <w:pStyle w:val="TableParagraph"/>
              <w:spacing w:line="225" w:lineRule="exact"/>
              <w:ind w:left="83" w:right="79"/>
              <w:jc w:val="center"/>
              <w:rPr>
                <w:b/>
                <w:sz w:val="20"/>
              </w:rPr>
            </w:pPr>
            <w:r>
              <w:rPr>
                <w:b/>
                <w:sz w:val="20"/>
              </w:rPr>
              <w:t>650</w:t>
            </w:r>
          </w:p>
        </w:tc>
        <w:tc>
          <w:tcPr>
            <w:tcW w:w="1836" w:type="dxa"/>
          </w:tcPr>
          <w:p>
            <w:pPr>
              <w:pStyle w:val="TableParagraph"/>
              <w:spacing w:line="227" w:lineRule="exact"/>
              <w:ind w:left="107"/>
              <w:rPr>
                <w:sz w:val="20"/>
              </w:rPr>
            </w:pPr>
            <w:r>
              <w:rPr>
                <w:sz w:val="20"/>
              </w:rPr>
              <w:t>Ellis Mtn.</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450130</w:t>
            </w:r>
          </w:p>
        </w:tc>
        <w:tc>
          <w:tcPr>
            <w:tcW w:w="1171" w:type="dxa"/>
          </w:tcPr>
          <w:p>
            <w:pPr>
              <w:pStyle w:val="TableParagraph"/>
              <w:spacing w:line="227" w:lineRule="exact"/>
              <w:ind w:left="100" w:right="95"/>
              <w:jc w:val="center"/>
              <w:rPr>
                <w:sz w:val="20"/>
              </w:rPr>
            </w:pPr>
            <w:r>
              <w:rPr>
                <w:sz w:val="20"/>
              </w:rPr>
              <w:t>DNR</w:t>
            </w:r>
          </w:p>
        </w:tc>
        <w:tc>
          <w:tcPr>
            <w:tcW w:w="900" w:type="dxa"/>
          </w:tcPr>
          <w:p>
            <w:pPr>
              <w:pStyle w:val="TableParagraph"/>
              <w:spacing w:line="227" w:lineRule="exact"/>
              <w:ind w:left="111" w:right="109"/>
              <w:jc w:val="center"/>
              <w:rPr>
                <w:sz w:val="20"/>
              </w:rPr>
            </w:pPr>
            <w:r>
              <w:rPr>
                <w:sz w:val="20"/>
              </w:rPr>
              <w:t>48.129</w:t>
            </w:r>
          </w:p>
        </w:tc>
        <w:tc>
          <w:tcPr>
            <w:tcW w:w="989" w:type="dxa"/>
          </w:tcPr>
          <w:p>
            <w:pPr>
              <w:pStyle w:val="TableParagraph"/>
              <w:spacing w:line="230" w:lineRule="exact"/>
              <w:ind w:left="129" w:firstLine="328"/>
              <w:rPr>
                <w:sz w:val="20"/>
              </w:rPr>
            </w:pPr>
            <w:r>
              <w:rPr>
                <w:sz w:val="20"/>
              </w:rPr>
              <w:t>- </w:t>
            </w:r>
            <w:r>
              <w:rPr>
                <w:w w:val="95"/>
                <w:sz w:val="20"/>
              </w:rPr>
              <w:t>124.305</w:t>
            </w:r>
          </w:p>
        </w:tc>
        <w:tc>
          <w:tcPr>
            <w:tcW w:w="828" w:type="dxa"/>
          </w:tcPr>
          <w:p>
            <w:pPr>
              <w:pStyle w:val="TableParagraph"/>
              <w:spacing w:line="227" w:lineRule="exact"/>
              <w:ind w:right="182"/>
              <w:jc w:val="right"/>
              <w:rPr>
                <w:sz w:val="20"/>
              </w:rPr>
            </w:pPr>
            <w:r>
              <w:rPr>
                <w:w w:val="95"/>
                <w:sz w:val="20"/>
              </w:rPr>
              <w:t>2671</w:t>
            </w:r>
          </w:p>
        </w:tc>
      </w:tr>
      <w:tr>
        <w:trPr>
          <w:trHeight w:val="460" w:hRule="atLeast"/>
        </w:trPr>
        <w:tc>
          <w:tcPr>
            <w:tcW w:w="883" w:type="dxa"/>
          </w:tcPr>
          <w:p>
            <w:pPr>
              <w:pStyle w:val="TableParagraph"/>
              <w:rPr>
                <w:rFonts w:ascii="Times New Roman"/>
                <w:sz w:val="22"/>
              </w:rPr>
            </w:pPr>
          </w:p>
        </w:tc>
        <w:tc>
          <w:tcPr>
            <w:tcW w:w="1836" w:type="dxa"/>
          </w:tcPr>
          <w:p>
            <w:pPr>
              <w:pStyle w:val="TableParagraph"/>
              <w:spacing w:line="227" w:lineRule="exact"/>
              <w:ind w:left="107"/>
              <w:rPr>
                <w:sz w:val="20"/>
              </w:rPr>
            </w:pPr>
            <w:r>
              <w:rPr>
                <w:sz w:val="20"/>
              </w:rPr>
              <w:t>Forks</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450105</w:t>
            </w:r>
          </w:p>
        </w:tc>
        <w:tc>
          <w:tcPr>
            <w:tcW w:w="1171" w:type="dxa"/>
          </w:tcPr>
          <w:p>
            <w:pPr>
              <w:pStyle w:val="TableParagraph"/>
              <w:spacing w:line="227" w:lineRule="exact"/>
              <w:ind w:left="100" w:right="95"/>
              <w:jc w:val="center"/>
              <w:rPr>
                <w:sz w:val="20"/>
              </w:rPr>
            </w:pPr>
            <w:r>
              <w:rPr>
                <w:sz w:val="20"/>
              </w:rPr>
              <w:t>DNR</w:t>
            </w:r>
          </w:p>
        </w:tc>
        <w:tc>
          <w:tcPr>
            <w:tcW w:w="900" w:type="dxa"/>
          </w:tcPr>
          <w:p>
            <w:pPr>
              <w:pStyle w:val="TableParagraph"/>
              <w:spacing w:line="227" w:lineRule="exact"/>
              <w:ind w:left="111" w:right="109"/>
              <w:jc w:val="center"/>
              <w:rPr>
                <w:sz w:val="20"/>
              </w:rPr>
            </w:pPr>
            <w:r>
              <w:rPr>
                <w:sz w:val="20"/>
              </w:rPr>
              <w:t>47.955</w:t>
            </w:r>
          </w:p>
        </w:tc>
        <w:tc>
          <w:tcPr>
            <w:tcW w:w="989" w:type="dxa"/>
          </w:tcPr>
          <w:p>
            <w:pPr>
              <w:pStyle w:val="TableParagraph"/>
              <w:spacing w:line="230" w:lineRule="exact"/>
              <w:ind w:left="129" w:firstLine="328"/>
              <w:rPr>
                <w:sz w:val="20"/>
              </w:rPr>
            </w:pPr>
            <w:r>
              <w:rPr>
                <w:sz w:val="20"/>
              </w:rPr>
              <w:t>- </w:t>
            </w:r>
            <w:r>
              <w:rPr>
                <w:w w:val="95"/>
                <w:sz w:val="20"/>
              </w:rPr>
              <w:t>124.385</w:t>
            </w:r>
          </w:p>
        </w:tc>
        <w:tc>
          <w:tcPr>
            <w:tcW w:w="828" w:type="dxa"/>
          </w:tcPr>
          <w:p>
            <w:pPr>
              <w:pStyle w:val="TableParagraph"/>
              <w:spacing w:line="227" w:lineRule="exact"/>
              <w:ind w:right="237"/>
              <w:jc w:val="right"/>
              <w:rPr>
                <w:sz w:val="20"/>
              </w:rPr>
            </w:pPr>
            <w:r>
              <w:rPr>
                <w:w w:val="95"/>
                <w:sz w:val="20"/>
              </w:rPr>
              <w:t>303</w:t>
            </w:r>
          </w:p>
        </w:tc>
      </w:tr>
      <w:tr>
        <w:trPr>
          <w:trHeight w:val="460" w:hRule="atLeast"/>
        </w:trPr>
        <w:tc>
          <w:tcPr>
            <w:tcW w:w="883" w:type="dxa"/>
          </w:tcPr>
          <w:p>
            <w:pPr>
              <w:pStyle w:val="TableParagraph"/>
              <w:rPr>
                <w:rFonts w:ascii="Times New Roman"/>
                <w:sz w:val="22"/>
              </w:rPr>
            </w:pPr>
          </w:p>
        </w:tc>
        <w:tc>
          <w:tcPr>
            <w:tcW w:w="1836" w:type="dxa"/>
          </w:tcPr>
          <w:p>
            <w:pPr>
              <w:pStyle w:val="TableParagraph"/>
              <w:spacing w:line="227" w:lineRule="exact"/>
              <w:ind w:left="107"/>
              <w:rPr>
                <w:sz w:val="20"/>
              </w:rPr>
            </w:pPr>
            <w:r>
              <w:rPr>
                <w:sz w:val="20"/>
              </w:rPr>
              <w:t>Black Knob</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450321</w:t>
            </w:r>
          </w:p>
        </w:tc>
        <w:tc>
          <w:tcPr>
            <w:tcW w:w="1171" w:type="dxa"/>
          </w:tcPr>
          <w:p>
            <w:pPr>
              <w:pStyle w:val="TableParagraph"/>
              <w:spacing w:line="227" w:lineRule="exact"/>
              <w:ind w:left="98" w:right="95"/>
              <w:jc w:val="center"/>
              <w:rPr>
                <w:sz w:val="20"/>
              </w:rPr>
            </w:pPr>
            <w:r>
              <w:rPr>
                <w:sz w:val="20"/>
              </w:rPr>
              <w:t>BIA</w:t>
            </w:r>
          </w:p>
        </w:tc>
        <w:tc>
          <w:tcPr>
            <w:tcW w:w="900" w:type="dxa"/>
          </w:tcPr>
          <w:p>
            <w:pPr>
              <w:pStyle w:val="TableParagraph"/>
              <w:spacing w:line="227" w:lineRule="exact"/>
              <w:ind w:left="111" w:right="109"/>
              <w:jc w:val="center"/>
              <w:rPr>
                <w:sz w:val="20"/>
              </w:rPr>
            </w:pPr>
            <w:r>
              <w:rPr>
                <w:sz w:val="20"/>
              </w:rPr>
              <w:t>47.414</w:t>
            </w:r>
          </w:p>
        </w:tc>
        <w:tc>
          <w:tcPr>
            <w:tcW w:w="989" w:type="dxa"/>
          </w:tcPr>
          <w:p>
            <w:pPr>
              <w:pStyle w:val="TableParagraph"/>
              <w:spacing w:line="230" w:lineRule="exact"/>
              <w:ind w:left="129" w:firstLine="328"/>
              <w:rPr>
                <w:sz w:val="20"/>
              </w:rPr>
            </w:pPr>
            <w:r>
              <w:rPr>
                <w:sz w:val="20"/>
              </w:rPr>
              <w:t>- </w:t>
            </w:r>
            <w:r>
              <w:rPr>
                <w:w w:val="95"/>
                <w:sz w:val="20"/>
              </w:rPr>
              <w:t>124.103</w:t>
            </w:r>
          </w:p>
        </w:tc>
        <w:tc>
          <w:tcPr>
            <w:tcW w:w="828" w:type="dxa"/>
          </w:tcPr>
          <w:p>
            <w:pPr>
              <w:pStyle w:val="TableParagraph"/>
              <w:spacing w:line="227" w:lineRule="exact"/>
              <w:ind w:right="237"/>
              <w:jc w:val="right"/>
              <w:rPr>
                <w:sz w:val="20"/>
              </w:rPr>
            </w:pPr>
            <w:r>
              <w:rPr>
                <w:w w:val="95"/>
                <w:sz w:val="20"/>
              </w:rPr>
              <w:t>650</w:t>
            </w:r>
          </w:p>
        </w:tc>
      </w:tr>
      <w:tr>
        <w:trPr>
          <w:trHeight w:val="460" w:hRule="atLeast"/>
        </w:trPr>
        <w:tc>
          <w:tcPr>
            <w:tcW w:w="883" w:type="dxa"/>
          </w:tcPr>
          <w:p>
            <w:pPr>
              <w:pStyle w:val="TableParagraph"/>
              <w:spacing w:line="225" w:lineRule="exact"/>
              <w:ind w:left="83" w:right="79"/>
              <w:jc w:val="center"/>
              <w:rPr>
                <w:b/>
                <w:sz w:val="20"/>
              </w:rPr>
            </w:pPr>
            <w:r>
              <w:rPr>
                <w:b/>
                <w:sz w:val="20"/>
              </w:rPr>
              <w:t>651</w:t>
            </w:r>
          </w:p>
        </w:tc>
        <w:tc>
          <w:tcPr>
            <w:tcW w:w="1836" w:type="dxa"/>
          </w:tcPr>
          <w:p>
            <w:pPr>
              <w:pStyle w:val="TableParagraph"/>
              <w:spacing w:line="227" w:lineRule="exact"/>
              <w:ind w:left="107"/>
              <w:rPr>
                <w:sz w:val="20"/>
              </w:rPr>
            </w:pPr>
            <w:r>
              <w:rPr>
                <w:sz w:val="20"/>
              </w:rPr>
              <w:t>Minot Peak</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450306</w:t>
            </w:r>
          </w:p>
        </w:tc>
        <w:tc>
          <w:tcPr>
            <w:tcW w:w="1171" w:type="dxa"/>
          </w:tcPr>
          <w:p>
            <w:pPr>
              <w:pStyle w:val="TableParagraph"/>
              <w:spacing w:line="227" w:lineRule="exact"/>
              <w:ind w:left="100" w:right="95"/>
              <w:jc w:val="center"/>
              <w:rPr>
                <w:sz w:val="20"/>
              </w:rPr>
            </w:pPr>
            <w:r>
              <w:rPr>
                <w:sz w:val="20"/>
              </w:rPr>
              <w:t>DNR</w:t>
            </w:r>
          </w:p>
        </w:tc>
        <w:tc>
          <w:tcPr>
            <w:tcW w:w="900" w:type="dxa"/>
          </w:tcPr>
          <w:p>
            <w:pPr>
              <w:pStyle w:val="TableParagraph"/>
              <w:spacing w:line="227" w:lineRule="exact"/>
              <w:ind w:left="111" w:right="109"/>
              <w:jc w:val="center"/>
              <w:rPr>
                <w:sz w:val="20"/>
              </w:rPr>
            </w:pPr>
            <w:r>
              <w:rPr>
                <w:sz w:val="20"/>
              </w:rPr>
              <w:t>46.892</w:t>
            </w:r>
          </w:p>
        </w:tc>
        <w:tc>
          <w:tcPr>
            <w:tcW w:w="989" w:type="dxa"/>
          </w:tcPr>
          <w:p>
            <w:pPr>
              <w:pStyle w:val="TableParagraph"/>
              <w:spacing w:line="230" w:lineRule="exact"/>
              <w:ind w:left="129" w:firstLine="328"/>
              <w:rPr>
                <w:sz w:val="20"/>
              </w:rPr>
            </w:pPr>
            <w:r>
              <w:rPr>
                <w:sz w:val="20"/>
              </w:rPr>
              <w:t>- </w:t>
            </w:r>
            <w:r>
              <w:rPr>
                <w:w w:val="95"/>
                <w:sz w:val="20"/>
              </w:rPr>
              <w:t>123.417</w:t>
            </w:r>
          </w:p>
        </w:tc>
        <w:tc>
          <w:tcPr>
            <w:tcW w:w="828" w:type="dxa"/>
          </w:tcPr>
          <w:p>
            <w:pPr>
              <w:pStyle w:val="TableParagraph"/>
              <w:spacing w:line="227" w:lineRule="exact"/>
              <w:ind w:right="182"/>
              <w:jc w:val="right"/>
              <w:rPr>
                <w:sz w:val="20"/>
              </w:rPr>
            </w:pPr>
            <w:r>
              <w:rPr>
                <w:w w:val="95"/>
                <w:sz w:val="20"/>
              </w:rPr>
              <w:t>1768</w:t>
            </w:r>
          </w:p>
        </w:tc>
      </w:tr>
      <w:tr>
        <w:trPr>
          <w:trHeight w:val="458" w:hRule="atLeast"/>
        </w:trPr>
        <w:tc>
          <w:tcPr>
            <w:tcW w:w="883" w:type="dxa"/>
          </w:tcPr>
          <w:p>
            <w:pPr>
              <w:pStyle w:val="TableParagraph"/>
              <w:spacing w:line="225" w:lineRule="exact"/>
              <w:ind w:left="83" w:right="79"/>
              <w:jc w:val="center"/>
              <w:rPr>
                <w:b/>
                <w:sz w:val="20"/>
              </w:rPr>
            </w:pPr>
            <w:r>
              <w:rPr>
                <w:b/>
                <w:sz w:val="20"/>
              </w:rPr>
              <w:t>652</w:t>
            </w:r>
          </w:p>
        </w:tc>
        <w:tc>
          <w:tcPr>
            <w:tcW w:w="1836" w:type="dxa"/>
          </w:tcPr>
          <w:p>
            <w:pPr>
              <w:pStyle w:val="TableParagraph"/>
              <w:spacing w:line="227" w:lineRule="exact"/>
              <w:ind w:left="107"/>
              <w:rPr>
                <w:sz w:val="20"/>
              </w:rPr>
            </w:pPr>
            <w:r>
              <w:rPr>
                <w:sz w:val="20"/>
              </w:rPr>
              <w:t>Toms Creek</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450121</w:t>
            </w:r>
          </w:p>
        </w:tc>
        <w:tc>
          <w:tcPr>
            <w:tcW w:w="1171" w:type="dxa"/>
          </w:tcPr>
          <w:p>
            <w:pPr>
              <w:pStyle w:val="TableParagraph"/>
              <w:spacing w:line="227" w:lineRule="exact"/>
              <w:ind w:left="98" w:right="95"/>
              <w:jc w:val="center"/>
              <w:rPr>
                <w:sz w:val="20"/>
              </w:rPr>
            </w:pPr>
            <w:r>
              <w:rPr>
                <w:sz w:val="20"/>
              </w:rPr>
              <w:t>USFS</w:t>
            </w:r>
          </w:p>
        </w:tc>
        <w:tc>
          <w:tcPr>
            <w:tcW w:w="900" w:type="dxa"/>
          </w:tcPr>
          <w:p>
            <w:pPr>
              <w:pStyle w:val="TableParagraph"/>
              <w:spacing w:line="227" w:lineRule="exact"/>
              <w:ind w:left="111" w:right="109"/>
              <w:jc w:val="center"/>
              <w:rPr>
                <w:sz w:val="20"/>
              </w:rPr>
            </w:pPr>
            <w:r>
              <w:rPr>
                <w:sz w:val="20"/>
              </w:rPr>
              <w:t>48.022</w:t>
            </w:r>
          </w:p>
        </w:tc>
        <w:tc>
          <w:tcPr>
            <w:tcW w:w="989" w:type="dxa"/>
          </w:tcPr>
          <w:p>
            <w:pPr>
              <w:pStyle w:val="TableParagraph"/>
              <w:spacing w:line="230" w:lineRule="exact"/>
              <w:ind w:left="129" w:firstLine="328"/>
              <w:rPr>
                <w:sz w:val="20"/>
              </w:rPr>
            </w:pPr>
            <w:r>
              <w:rPr>
                <w:sz w:val="20"/>
              </w:rPr>
              <w:t>- </w:t>
            </w:r>
            <w:r>
              <w:rPr>
                <w:w w:val="95"/>
                <w:sz w:val="20"/>
              </w:rPr>
              <w:t>123.959</w:t>
            </w:r>
          </w:p>
        </w:tc>
        <w:tc>
          <w:tcPr>
            <w:tcW w:w="828" w:type="dxa"/>
          </w:tcPr>
          <w:p>
            <w:pPr>
              <w:pStyle w:val="TableParagraph"/>
              <w:spacing w:line="227" w:lineRule="exact"/>
              <w:ind w:right="182"/>
              <w:jc w:val="right"/>
              <w:rPr>
                <w:sz w:val="20"/>
              </w:rPr>
            </w:pPr>
            <w:r>
              <w:rPr>
                <w:w w:val="95"/>
                <w:sz w:val="20"/>
              </w:rPr>
              <w:t>2400</w:t>
            </w:r>
          </w:p>
        </w:tc>
      </w:tr>
      <w:tr>
        <w:trPr>
          <w:trHeight w:val="458" w:hRule="atLeast"/>
        </w:trPr>
        <w:tc>
          <w:tcPr>
            <w:tcW w:w="883" w:type="dxa"/>
          </w:tcPr>
          <w:p>
            <w:pPr>
              <w:pStyle w:val="TableParagraph"/>
              <w:rPr>
                <w:rFonts w:ascii="Times New Roman"/>
                <w:sz w:val="22"/>
              </w:rPr>
            </w:pPr>
          </w:p>
        </w:tc>
        <w:tc>
          <w:tcPr>
            <w:tcW w:w="1836" w:type="dxa"/>
          </w:tcPr>
          <w:p>
            <w:pPr>
              <w:pStyle w:val="TableParagraph"/>
              <w:spacing w:line="227" w:lineRule="exact"/>
              <w:ind w:left="107"/>
              <w:rPr>
                <w:sz w:val="20"/>
              </w:rPr>
            </w:pPr>
            <w:r>
              <w:rPr>
                <w:sz w:val="20"/>
              </w:rPr>
              <w:t>Owl Mtn.</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450211</w:t>
            </w:r>
          </w:p>
        </w:tc>
        <w:tc>
          <w:tcPr>
            <w:tcW w:w="1171" w:type="dxa"/>
          </w:tcPr>
          <w:p>
            <w:pPr>
              <w:pStyle w:val="TableParagraph"/>
              <w:spacing w:line="227" w:lineRule="exact"/>
              <w:ind w:left="100" w:right="95"/>
              <w:jc w:val="center"/>
              <w:rPr>
                <w:sz w:val="20"/>
              </w:rPr>
            </w:pPr>
            <w:r>
              <w:rPr>
                <w:sz w:val="20"/>
              </w:rPr>
              <w:t>DNR</w:t>
            </w:r>
          </w:p>
        </w:tc>
        <w:tc>
          <w:tcPr>
            <w:tcW w:w="900" w:type="dxa"/>
          </w:tcPr>
          <w:p>
            <w:pPr>
              <w:pStyle w:val="TableParagraph"/>
              <w:spacing w:line="227" w:lineRule="exact"/>
              <w:ind w:left="111" w:right="109"/>
              <w:jc w:val="center"/>
              <w:rPr>
                <w:sz w:val="20"/>
              </w:rPr>
            </w:pPr>
            <w:r>
              <w:rPr>
                <w:sz w:val="20"/>
              </w:rPr>
              <w:t>47.766</w:t>
            </w:r>
          </w:p>
        </w:tc>
        <w:tc>
          <w:tcPr>
            <w:tcW w:w="989" w:type="dxa"/>
          </w:tcPr>
          <w:p>
            <w:pPr>
              <w:pStyle w:val="TableParagraph"/>
              <w:spacing w:line="228" w:lineRule="exact" w:before="2"/>
              <w:ind w:left="129" w:firstLine="328"/>
              <w:rPr>
                <w:sz w:val="20"/>
              </w:rPr>
            </w:pPr>
            <w:r>
              <w:rPr>
                <w:sz w:val="20"/>
              </w:rPr>
              <w:t>- </w:t>
            </w:r>
            <w:r>
              <w:rPr>
                <w:w w:val="95"/>
                <w:sz w:val="20"/>
              </w:rPr>
              <w:t>123.965</w:t>
            </w:r>
          </w:p>
        </w:tc>
        <w:tc>
          <w:tcPr>
            <w:tcW w:w="828" w:type="dxa"/>
          </w:tcPr>
          <w:p>
            <w:pPr>
              <w:pStyle w:val="TableParagraph"/>
              <w:spacing w:line="227" w:lineRule="exact"/>
              <w:ind w:right="182"/>
              <w:jc w:val="right"/>
              <w:rPr>
                <w:sz w:val="20"/>
              </w:rPr>
            </w:pPr>
            <w:r>
              <w:rPr>
                <w:w w:val="95"/>
                <w:sz w:val="20"/>
              </w:rPr>
              <w:t>3398</w:t>
            </w:r>
          </w:p>
        </w:tc>
      </w:tr>
    </w:tbl>
    <w:p>
      <w:pPr>
        <w:spacing w:after="0" w:line="227" w:lineRule="exact"/>
        <w:jc w:val="right"/>
        <w:rPr>
          <w:sz w:val="20"/>
        </w:rPr>
        <w:sectPr>
          <w:pgSz w:w="12240" w:h="15840"/>
          <w:pgMar w:header="0" w:footer="968" w:top="1500" w:bottom="1160" w:left="340" w:right="620"/>
        </w:sectPr>
      </w:pPr>
    </w:p>
    <w:tbl>
      <w:tblPr>
        <w:tblW w:w="0" w:type="auto"/>
        <w:jc w:val="left"/>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1836"/>
        <w:gridCol w:w="900"/>
        <w:gridCol w:w="1349"/>
        <w:gridCol w:w="1171"/>
        <w:gridCol w:w="900"/>
        <w:gridCol w:w="989"/>
        <w:gridCol w:w="828"/>
      </w:tblGrid>
      <w:tr>
        <w:trPr>
          <w:trHeight w:val="457" w:hRule="atLeast"/>
        </w:trPr>
        <w:tc>
          <w:tcPr>
            <w:tcW w:w="883" w:type="dxa"/>
          </w:tcPr>
          <w:p>
            <w:pPr>
              <w:pStyle w:val="TableParagraph"/>
              <w:rPr>
                <w:rFonts w:ascii="Times New Roman"/>
                <w:sz w:val="18"/>
              </w:rPr>
            </w:pPr>
          </w:p>
        </w:tc>
        <w:tc>
          <w:tcPr>
            <w:tcW w:w="1836" w:type="dxa"/>
          </w:tcPr>
          <w:p>
            <w:pPr>
              <w:pStyle w:val="TableParagraph"/>
              <w:spacing w:line="227" w:lineRule="exact"/>
              <w:ind w:left="107"/>
              <w:rPr>
                <w:sz w:val="20"/>
              </w:rPr>
            </w:pPr>
            <w:r>
              <w:rPr>
                <w:sz w:val="20"/>
              </w:rPr>
              <w:t>Humptulips</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450312</w:t>
            </w:r>
          </w:p>
        </w:tc>
        <w:tc>
          <w:tcPr>
            <w:tcW w:w="1171" w:type="dxa"/>
          </w:tcPr>
          <w:p>
            <w:pPr>
              <w:pStyle w:val="TableParagraph"/>
              <w:spacing w:line="227" w:lineRule="exact"/>
              <w:ind w:right="311"/>
              <w:jc w:val="right"/>
              <w:rPr>
                <w:sz w:val="20"/>
              </w:rPr>
            </w:pPr>
            <w:r>
              <w:rPr>
                <w:sz w:val="20"/>
              </w:rPr>
              <w:t>USFS</w:t>
            </w:r>
          </w:p>
        </w:tc>
        <w:tc>
          <w:tcPr>
            <w:tcW w:w="900" w:type="dxa"/>
          </w:tcPr>
          <w:p>
            <w:pPr>
              <w:pStyle w:val="TableParagraph"/>
              <w:spacing w:line="227" w:lineRule="exact"/>
              <w:ind w:left="111" w:right="109"/>
              <w:jc w:val="center"/>
              <w:rPr>
                <w:sz w:val="20"/>
              </w:rPr>
            </w:pPr>
            <w:r>
              <w:rPr>
                <w:sz w:val="20"/>
              </w:rPr>
              <w:t>47.367</w:t>
            </w:r>
          </w:p>
        </w:tc>
        <w:tc>
          <w:tcPr>
            <w:tcW w:w="989" w:type="dxa"/>
          </w:tcPr>
          <w:p>
            <w:pPr>
              <w:pStyle w:val="TableParagraph"/>
              <w:spacing w:line="230" w:lineRule="exact"/>
              <w:ind w:left="129" w:firstLine="328"/>
              <w:rPr>
                <w:sz w:val="20"/>
              </w:rPr>
            </w:pPr>
            <w:r>
              <w:rPr>
                <w:sz w:val="20"/>
              </w:rPr>
              <w:t>- </w:t>
            </w:r>
            <w:r>
              <w:rPr>
                <w:w w:val="95"/>
                <w:sz w:val="20"/>
              </w:rPr>
              <w:t>123.758</w:t>
            </w:r>
          </w:p>
        </w:tc>
        <w:tc>
          <w:tcPr>
            <w:tcW w:w="828" w:type="dxa"/>
          </w:tcPr>
          <w:p>
            <w:pPr>
              <w:pStyle w:val="TableParagraph"/>
              <w:spacing w:line="227" w:lineRule="exact"/>
              <w:ind w:right="182"/>
              <w:jc w:val="right"/>
              <w:rPr>
                <w:sz w:val="20"/>
              </w:rPr>
            </w:pPr>
            <w:r>
              <w:rPr>
                <w:w w:val="95"/>
                <w:sz w:val="20"/>
              </w:rPr>
              <w:t>2400</w:t>
            </w:r>
          </w:p>
        </w:tc>
      </w:tr>
      <w:tr>
        <w:trPr>
          <w:trHeight w:val="458" w:hRule="atLeast"/>
        </w:trPr>
        <w:tc>
          <w:tcPr>
            <w:tcW w:w="883" w:type="dxa"/>
          </w:tcPr>
          <w:p>
            <w:pPr>
              <w:pStyle w:val="TableParagraph"/>
              <w:spacing w:line="225" w:lineRule="exact"/>
              <w:ind w:right="266"/>
              <w:jc w:val="right"/>
              <w:rPr>
                <w:b/>
                <w:sz w:val="20"/>
              </w:rPr>
            </w:pPr>
            <w:r>
              <w:rPr>
                <w:b/>
                <w:w w:val="95"/>
                <w:sz w:val="20"/>
              </w:rPr>
              <w:t>661</w:t>
            </w:r>
          </w:p>
        </w:tc>
        <w:tc>
          <w:tcPr>
            <w:tcW w:w="1836" w:type="dxa"/>
          </w:tcPr>
          <w:p>
            <w:pPr>
              <w:pStyle w:val="TableParagraph"/>
              <w:spacing w:line="227" w:lineRule="exact"/>
              <w:ind w:left="107"/>
              <w:rPr>
                <w:sz w:val="20"/>
              </w:rPr>
            </w:pPr>
            <w:r>
              <w:rPr>
                <w:sz w:val="20"/>
              </w:rPr>
              <w:t>Hurricane Ridge</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450124</w:t>
            </w:r>
          </w:p>
        </w:tc>
        <w:tc>
          <w:tcPr>
            <w:tcW w:w="1171" w:type="dxa"/>
          </w:tcPr>
          <w:p>
            <w:pPr>
              <w:pStyle w:val="TableParagraph"/>
              <w:spacing w:line="227" w:lineRule="exact"/>
              <w:ind w:right="371"/>
              <w:jc w:val="right"/>
              <w:rPr>
                <w:sz w:val="20"/>
              </w:rPr>
            </w:pPr>
            <w:r>
              <w:rPr>
                <w:w w:val="95"/>
                <w:sz w:val="20"/>
              </w:rPr>
              <w:t>NPS</w:t>
            </w:r>
          </w:p>
        </w:tc>
        <w:tc>
          <w:tcPr>
            <w:tcW w:w="900" w:type="dxa"/>
          </w:tcPr>
          <w:p>
            <w:pPr>
              <w:pStyle w:val="TableParagraph"/>
              <w:spacing w:line="227" w:lineRule="exact"/>
              <w:ind w:left="111" w:right="109"/>
              <w:jc w:val="center"/>
              <w:rPr>
                <w:sz w:val="20"/>
              </w:rPr>
            </w:pPr>
            <w:r>
              <w:rPr>
                <w:sz w:val="20"/>
              </w:rPr>
              <w:t>47.970</w:t>
            </w:r>
          </w:p>
        </w:tc>
        <w:tc>
          <w:tcPr>
            <w:tcW w:w="989" w:type="dxa"/>
          </w:tcPr>
          <w:p>
            <w:pPr>
              <w:pStyle w:val="TableParagraph"/>
              <w:spacing w:line="228" w:lineRule="exact" w:before="2"/>
              <w:ind w:left="129" w:firstLine="328"/>
              <w:rPr>
                <w:sz w:val="20"/>
              </w:rPr>
            </w:pPr>
            <w:r>
              <w:rPr>
                <w:sz w:val="20"/>
              </w:rPr>
              <w:t>- </w:t>
            </w:r>
            <w:r>
              <w:rPr>
                <w:w w:val="95"/>
                <w:sz w:val="20"/>
              </w:rPr>
              <w:t>123.499</w:t>
            </w:r>
          </w:p>
        </w:tc>
        <w:tc>
          <w:tcPr>
            <w:tcW w:w="828" w:type="dxa"/>
          </w:tcPr>
          <w:p>
            <w:pPr>
              <w:pStyle w:val="TableParagraph"/>
              <w:spacing w:line="227" w:lineRule="exact"/>
              <w:ind w:right="182"/>
              <w:jc w:val="right"/>
              <w:rPr>
                <w:sz w:val="20"/>
              </w:rPr>
            </w:pPr>
            <w:r>
              <w:rPr>
                <w:w w:val="95"/>
                <w:sz w:val="20"/>
              </w:rPr>
              <w:t>5262</w:t>
            </w:r>
          </w:p>
        </w:tc>
      </w:tr>
      <w:tr>
        <w:trPr>
          <w:trHeight w:val="460" w:hRule="atLeast"/>
        </w:trPr>
        <w:tc>
          <w:tcPr>
            <w:tcW w:w="883" w:type="dxa"/>
          </w:tcPr>
          <w:p>
            <w:pPr>
              <w:pStyle w:val="TableParagraph"/>
              <w:rPr>
                <w:rFonts w:ascii="Times New Roman"/>
                <w:sz w:val="18"/>
              </w:rPr>
            </w:pPr>
          </w:p>
        </w:tc>
        <w:tc>
          <w:tcPr>
            <w:tcW w:w="1836" w:type="dxa"/>
          </w:tcPr>
          <w:p>
            <w:pPr>
              <w:pStyle w:val="TableParagraph"/>
              <w:spacing w:line="227" w:lineRule="exact"/>
              <w:ind w:left="107"/>
              <w:rPr>
                <w:sz w:val="20"/>
              </w:rPr>
            </w:pPr>
            <w:r>
              <w:rPr>
                <w:sz w:val="20"/>
              </w:rPr>
              <w:t>Cougar</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450117</w:t>
            </w:r>
          </w:p>
        </w:tc>
        <w:tc>
          <w:tcPr>
            <w:tcW w:w="1171" w:type="dxa"/>
          </w:tcPr>
          <w:p>
            <w:pPr>
              <w:pStyle w:val="TableParagraph"/>
              <w:spacing w:line="227" w:lineRule="exact"/>
              <w:ind w:right="311"/>
              <w:jc w:val="right"/>
              <w:rPr>
                <w:sz w:val="20"/>
              </w:rPr>
            </w:pPr>
            <w:r>
              <w:rPr>
                <w:sz w:val="20"/>
              </w:rPr>
              <w:t>USFS</w:t>
            </w:r>
          </w:p>
        </w:tc>
        <w:tc>
          <w:tcPr>
            <w:tcW w:w="900" w:type="dxa"/>
          </w:tcPr>
          <w:p>
            <w:pPr>
              <w:pStyle w:val="TableParagraph"/>
              <w:spacing w:line="227" w:lineRule="exact"/>
              <w:ind w:left="111" w:right="109"/>
              <w:jc w:val="center"/>
              <w:rPr>
                <w:sz w:val="20"/>
              </w:rPr>
            </w:pPr>
            <w:r>
              <w:rPr>
                <w:sz w:val="20"/>
              </w:rPr>
              <w:t>47.923</w:t>
            </w:r>
          </w:p>
        </w:tc>
        <w:tc>
          <w:tcPr>
            <w:tcW w:w="989" w:type="dxa"/>
          </w:tcPr>
          <w:p>
            <w:pPr>
              <w:pStyle w:val="TableParagraph"/>
              <w:spacing w:line="230" w:lineRule="exact"/>
              <w:ind w:left="129" w:firstLine="328"/>
              <w:rPr>
                <w:sz w:val="20"/>
              </w:rPr>
            </w:pPr>
            <w:r>
              <w:rPr>
                <w:sz w:val="20"/>
              </w:rPr>
              <w:t>- </w:t>
            </w:r>
            <w:r>
              <w:rPr>
                <w:w w:val="95"/>
                <w:sz w:val="20"/>
              </w:rPr>
              <w:t>123.108</w:t>
            </w:r>
          </w:p>
        </w:tc>
        <w:tc>
          <w:tcPr>
            <w:tcW w:w="828" w:type="dxa"/>
          </w:tcPr>
          <w:p>
            <w:pPr>
              <w:pStyle w:val="TableParagraph"/>
              <w:spacing w:line="227" w:lineRule="exact"/>
              <w:ind w:right="182"/>
              <w:jc w:val="right"/>
              <w:rPr>
                <w:sz w:val="20"/>
              </w:rPr>
            </w:pPr>
            <w:r>
              <w:rPr>
                <w:w w:val="95"/>
                <w:sz w:val="20"/>
              </w:rPr>
              <w:t>3000</w:t>
            </w:r>
          </w:p>
        </w:tc>
      </w:tr>
      <w:tr>
        <w:trPr>
          <w:trHeight w:val="460" w:hRule="atLeast"/>
        </w:trPr>
        <w:tc>
          <w:tcPr>
            <w:tcW w:w="883" w:type="dxa"/>
          </w:tcPr>
          <w:p>
            <w:pPr>
              <w:pStyle w:val="TableParagraph"/>
              <w:rPr>
                <w:rFonts w:ascii="Times New Roman"/>
                <w:sz w:val="18"/>
              </w:rPr>
            </w:pPr>
          </w:p>
        </w:tc>
        <w:tc>
          <w:tcPr>
            <w:tcW w:w="1836" w:type="dxa"/>
          </w:tcPr>
          <w:p>
            <w:pPr>
              <w:pStyle w:val="TableParagraph"/>
              <w:spacing w:line="227" w:lineRule="exact"/>
              <w:ind w:left="107"/>
              <w:rPr>
                <w:sz w:val="20"/>
              </w:rPr>
            </w:pPr>
            <w:r>
              <w:rPr>
                <w:sz w:val="20"/>
              </w:rPr>
              <w:t>Jefferson</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450911</w:t>
            </w:r>
          </w:p>
        </w:tc>
        <w:tc>
          <w:tcPr>
            <w:tcW w:w="1171" w:type="dxa"/>
          </w:tcPr>
          <w:p>
            <w:pPr>
              <w:pStyle w:val="TableParagraph"/>
              <w:spacing w:line="227" w:lineRule="exact"/>
              <w:ind w:right="311"/>
              <w:jc w:val="right"/>
              <w:rPr>
                <w:sz w:val="20"/>
              </w:rPr>
            </w:pPr>
            <w:r>
              <w:rPr>
                <w:sz w:val="20"/>
              </w:rPr>
              <w:t>USFS</w:t>
            </w:r>
          </w:p>
        </w:tc>
        <w:tc>
          <w:tcPr>
            <w:tcW w:w="900" w:type="dxa"/>
          </w:tcPr>
          <w:p>
            <w:pPr>
              <w:pStyle w:val="TableParagraph"/>
              <w:spacing w:line="227" w:lineRule="exact"/>
              <w:ind w:left="111" w:right="109"/>
              <w:jc w:val="center"/>
              <w:rPr>
                <w:sz w:val="20"/>
              </w:rPr>
            </w:pPr>
            <w:r>
              <w:rPr>
                <w:sz w:val="20"/>
              </w:rPr>
              <w:t>47.554</w:t>
            </w:r>
          </w:p>
        </w:tc>
        <w:tc>
          <w:tcPr>
            <w:tcW w:w="989" w:type="dxa"/>
          </w:tcPr>
          <w:p>
            <w:pPr>
              <w:pStyle w:val="TableParagraph"/>
              <w:spacing w:line="230" w:lineRule="exact"/>
              <w:ind w:left="129" w:firstLine="328"/>
              <w:rPr>
                <w:sz w:val="20"/>
              </w:rPr>
            </w:pPr>
            <w:r>
              <w:rPr>
                <w:sz w:val="20"/>
              </w:rPr>
              <w:t>- </w:t>
            </w:r>
            <w:r>
              <w:rPr>
                <w:w w:val="95"/>
                <w:sz w:val="20"/>
              </w:rPr>
              <w:t>123.215</w:t>
            </w:r>
          </w:p>
        </w:tc>
        <w:tc>
          <w:tcPr>
            <w:tcW w:w="828" w:type="dxa"/>
          </w:tcPr>
          <w:p>
            <w:pPr>
              <w:pStyle w:val="TableParagraph"/>
              <w:spacing w:line="227" w:lineRule="exact"/>
              <w:ind w:right="182"/>
              <w:jc w:val="right"/>
              <w:rPr>
                <w:sz w:val="20"/>
              </w:rPr>
            </w:pPr>
            <w:r>
              <w:rPr>
                <w:w w:val="95"/>
                <w:sz w:val="20"/>
              </w:rPr>
              <w:t>2200</w:t>
            </w:r>
          </w:p>
        </w:tc>
      </w:tr>
      <w:tr>
        <w:trPr>
          <w:trHeight w:val="460" w:hRule="atLeast"/>
        </w:trPr>
        <w:tc>
          <w:tcPr>
            <w:tcW w:w="883" w:type="dxa"/>
          </w:tcPr>
          <w:p>
            <w:pPr>
              <w:pStyle w:val="TableParagraph"/>
              <w:rPr>
                <w:rFonts w:ascii="Times New Roman"/>
                <w:sz w:val="18"/>
              </w:rPr>
            </w:pPr>
          </w:p>
        </w:tc>
        <w:tc>
          <w:tcPr>
            <w:tcW w:w="1836" w:type="dxa"/>
          </w:tcPr>
          <w:p>
            <w:pPr>
              <w:pStyle w:val="TableParagraph"/>
              <w:spacing w:line="227" w:lineRule="exact"/>
              <w:ind w:left="107"/>
              <w:rPr>
                <w:sz w:val="20"/>
              </w:rPr>
            </w:pPr>
            <w:r>
              <w:rPr>
                <w:sz w:val="20"/>
              </w:rPr>
              <w:t>Buck Knoll</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450131</w:t>
            </w:r>
          </w:p>
        </w:tc>
        <w:tc>
          <w:tcPr>
            <w:tcW w:w="1171" w:type="dxa"/>
          </w:tcPr>
          <w:p>
            <w:pPr>
              <w:pStyle w:val="TableParagraph"/>
              <w:spacing w:line="227" w:lineRule="exact"/>
              <w:ind w:right="359"/>
              <w:jc w:val="right"/>
              <w:rPr>
                <w:sz w:val="20"/>
              </w:rPr>
            </w:pPr>
            <w:r>
              <w:rPr>
                <w:w w:val="95"/>
                <w:sz w:val="20"/>
              </w:rPr>
              <w:t>DNR</w:t>
            </w:r>
          </w:p>
        </w:tc>
        <w:tc>
          <w:tcPr>
            <w:tcW w:w="900" w:type="dxa"/>
          </w:tcPr>
          <w:p>
            <w:pPr>
              <w:pStyle w:val="TableParagraph"/>
              <w:spacing w:line="227" w:lineRule="exact"/>
              <w:ind w:left="111" w:right="109"/>
              <w:jc w:val="center"/>
              <w:rPr>
                <w:sz w:val="20"/>
              </w:rPr>
            </w:pPr>
            <w:r>
              <w:rPr>
                <w:sz w:val="20"/>
              </w:rPr>
              <w:t>48.028</w:t>
            </w:r>
          </w:p>
        </w:tc>
        <w:tc>
          <w:tcPr>
            <w:tcW w:w="989" w:type="dxa"/>
          </w:tcPr>
          <w:p>
            <w:pPr>
              <w:pStyle w:val="TableParagraph"/>
              <w:spacing w:line="230" w:lineRule="exact"/>
              <w:ind w:left="129" w:firstLine="328"/>
              <w:rPr>
                <w:sz w:val="20"/>
              </w:rPr>
            </w:pPr>
            <w:r>
              <w:rPr>
                <w:sz w:val="20"/>
              </w:rPr>
              <w:t>- </w:t>
            </w:r>
            <w:r>
              <w:rPr>
                <w:w w:val="95"/>
                <w:sz w:val="20"/>
              </w:rPr>
              <w:t>123.311</w:t>
            </w:r>
          </w:p>
        </w:tc>
        <w:tc>
          <w:tcPr>
            <w:tcW w:w="828" w:type="dxa"/>
          </w:tcPr>
          <w:p>
            <w:pPr>
              <w:pStyle w:val="TableParagraph"/>
              <w:spacing w:line="227" w:lineRule="exact"/>
              <w:ind w:right="182"/>
              <w:jc w:val="right"/>
              <w:rPr>
                <w:sz w:val="20"/>
              </w:rPr>
            </w:pPr>
            <w:r>
              <w:rPr>
                <w:w w:val="95"/>
                <w:sz w:val="20"/>
              </w:rPr>
              <w:t>1630</w:t>
            </w:r>
          </w:p>
        </w:tc>
      </w:tr>
      <w:tr>
        <w:trPr>
          <w:trHeight w:val="460" w:hRule="atLeast"/>
        </w:trPr>
        <w:tc>
          <w:tcPr>
            <w:tcW w:w="883" w:type="dxa"/>
          </w:tcPr>
          <w:p>
            <w:pPr>
              <w:pStyle w:val="TableParagraph"/>
              <w:spacing w:line="225" w:lineRule="exact"/>
              <w:ind w:right="266"/>
              <w:jc w:val="right"/>
              <w:rPr>
                <w:b/>
                <w:sz w:val="20"/>
              </w:rPr>
            </w:pPr>
            <w:r>
              <w:rPr>
                <w:b/>
                <w:w w:val="95"/>
                <w:sz w:val="20"/>
              </w:rPr>
              <w:t>653</w:t>
            </w:r>
          </w:p>
        </w:tc>
        <w:tc>
          <w:tcPr>
            <w:tcW w:w="1836" w:type="dxa"/>
          </w:tcPr>
          <w:p>
            <w:pPr>
              <w:pStyle w:val="TableParagraph"/>
              <w:spacing w:line="227" w:lineRule="exact"/>
              <w:ind w:left="107"/>
              <w:rPr>
                <w:sz w:val="20"/>
              </w:rPr>
            </w:pPr>
            <w:r>
              <w:rPr>
                <w:sz w:val="20"/>
              </w:rPr>
              <w:t>Bellingham</w:t>
            </w:r>
          </w:p>
        </w:tc>
        <w:tc>
          <w:tcPr>
            <w:tcW w:w="900" w:type="dxa"/>
          </w:tcPr>
          <w:p>
            <w:pPr>
              <w:pStyle w:val="TableParagraph"/>
              <w:spacing w:line="227" w:lineRule="exact"/>
              <w:ind w:left="110" w:right="109"/>
              <w:jc w:val="center"/>
              <w:rPr>
                <w:sz w:val="20"/>
              </w:rPr>
            </w:pPr>
            <w:r>
              <w:rPr>
                <w:sz w:val="20"/>
              </w:rPr>
              <w:t>Metar</w:t>
            </w:r>
          </w:p>
        </w:tc>
        <w:tc>
          <w:tcPr>
            <w:tcW w:w="1349" w:type="dxa"/>
          </w:tcPr>
          <w:p>
            <w:pPr>
              <w:pStyle w:val="TableParagraph"/>
              <w:spacing w:line="227" w:lineRule="exact"/>
              <w:ind w:right="334"/>
              <w:jc w:val="right"/>
              <w:rPr>
                <w:sz w:val="20"/>
              </w:rPr>
            </w:pPr>
            <w:r>
              <w:rPr>
                <w:sz w:val="20"/>
              </w:rPr>
              <w:t>451411</w:t>
            </w:r>
          </w:p>
        </w:tc>
        <w:tc>
          <w:tcPr>
            <w:tcW w:w="1171" w:type="dxa"/>
          </w:tcPr>
          <w:p>
            <w:pPr>
              <w:pStyle w:val="TableParagraph"/>
              <w:spacing w:line="227" w:lineRule="exact"/>
              <w:ind w:right="359"/>
              <w:jc w:val="right"/>
              <w:rPr>
                <w:sz w:val="20"/>
              </w:rPr>
            </w:pPr>
            <w:r>
              <w:rPr>
                <w:w w:val="95"/>
                <w:sz w:val="20"/>
              </w:rPr>
              <w:t>DNR</w:t>
            </w:r>
          </w:p>
        </w:tc>
        <w:tc>
          <w:tcPr>
            <w:tcW w:w="900" w:type="dxa"/>
          </w:tcPr>
          <w:p>
            <w:pPr>
              <w:pStyle w:val="TableParagraph"/>
              <w:spacing w:line="227" w:lineRule="exact"/>
              <w:ind w:left="111" w:right="109"/>
              <w:jc w:val="center"/>
              <w:rPr>
                <w:sz w:val="20"/>
              </w:rPr>
            </w:pPr>
            <w:r>
              <w:rPr>
                <w:sz w:val="20"/>
              </w:rPr>
              <w:t>48.799</w:t>
            </w:r>
          </w:p>
        </w:tc>
        <w:tc>
          <w:tcPr>
            <w:tcW w:w="989" w:type="dxa"/>
          </w:tcPr>
          <w:p>
            <w:pPr>
              <w:pStyle w:val="TableParagraph"/>
              <w:spacing w:line="230" w:lineRule="exact"/>
              <w:ind w:left="129" w:firstLine="328"/>
              <w:rPr>
                <w:sz w:val="20"/>
              </w:rPr>
            </w:pPr>
            <w:r>
              <w:rPr>
                <w:sz w:val="20"/>
              </w:rPr>
              <w:t>- </w:t>
            </w:r>
            <w:r>
              <w:rPr>
                <w:w w:val="95"/>
                <w:sz w:val="20"/>
              </w:rPr>
              <w:t>122.539</w:t>
            </w:r>
          </w:p>
        </w:tc>
        <w:tc>
          <w:tcPr>
            <w:tcW w:w="828" w:type="dxa"/>
          </w:tcPr>
          <w:p>
            <w:pPr>
              <w:pStyle w:val="TableParagraph"/>
              <w:spacing w:line="227" w:lineRule="exact"/>
              <w:ind w:right="237"/>
              <w:jc w:val="right"/>
              <w:rPr>
                <w:sz w:val="20"/>
              </w:rPr>
            </w:pPr>
            <w:r>
              <w:rPr>
                <w:w w:val="95"/>
                <w:sz w:val="20"/>
              </w:rPr>
              <w:t>157</w:t>
            </w:r>
          </w:p>
        </w:tc>
      </w:tr>
      <w:tr>
        <w:trPr>
          <w:trHeight w:val="457" w:hRule="atLeast"/>
        </w:trPr>
        <w:tc>
          <w:tcPr>
            <w:tcW w:w="883" w:type="dxa"/>
          </w:tcPr>
          <w:p>
            <w:pPr>
              <w:pStyle w:val="TableParagraph"/>
              <w:rPr>
                <w:rFonts w:ascii="Times New Roman"/>
                <w:sz w:val="18"/>
              </w:rPr>
            </w:pPr>
          </w:p>
        </w:tc>
        <w:tc>
          <w:tcPr>
            <w:tcW w:w="1836" w:type="dxa"/>
          </w:tcPr>
          <w:p>
            <w:pPr>
              <w:pStyle w:val="TableParagraph"/>
              <w:spacing w:line="227" w:lineRule="exact"/>
              <w:ind w:left="107"/>
              <w:rPr>
                <w:sz w:val="20"/>
              </w:rPr>
            </w:pPr>
            <w:r>
              <w:rPr>
                <w:sz w:val="20"/>
              </w:rPr>
              <w:t>Everett</w:t>
            </w:r>
          </w:p>
        </w:tc>
        <w:tc>
          <w:tcPr>
            <w:tcW w:w="900" w:type="dxa"/>
          </w:tcPr>
          <w:p>
            <w:pPr>
              <w:pStyle w:val="TableParagraph"/>
              <w:spacing w:line="227" w:lineRule="exact"/>
              <w:ind w:left="110" w:right="109"/>
              <w:jc w:val="center"/>
              <w:rPr>
                <w:sz w:val="20"/>
              </w:rPr>
            </w:pPr>
            <w:r>
              <w:rPr>
                <w:sz w:val="20"/>
              </w:rPr>
              <w:t>Metar</w:t>
            </w:r>
          </w:p>
        </w:tc>
        <w:tc>
          <w:tcPr>
            <w:tcW w:w="1349" w:type="dxa"/>
          </w:tcPr>
          <w:p>
            <w:pPr>
              <w:pStyle w:val="TableParagraph"/>
              <w:spacing w:line="227" w:lineRule="exact"/>
              <w:ind w:right="334"/>
              <w:jc w:val="right"/>
              <w:rPr>
                <w:sz w:val="20"/>
              </w:rPr>
            </w:pPr>
            <w:r>
              <w:rPr>
                <w:sz w:val="20"/>
              </w:rPr>
              <w:t>451614</w:t>
            </w:r>
          </w:p>
        </w:tc>
        <w:tc>
          <w:tcPr>
            <w:tcW w:w="1171" w:type="dxa"/>
          </w:tcPr>
          <w:p>
            <w:pPr>
              <w:pStyle w:val="TableParagraph"/>
              <w:spacing w:line="227" w:lineRule="exact"/>
              <w:ind w:right="359"/>
              <w:jc w:val="right"/>
              <w:rPr>
                <w:sz w:val="20"/>
              </w:rPr>
            </w:pPr>
            <w:r>
              <w:rPr>
                <w:w w:val="95"/>
                <w:sz w:val="20"/>
              </w:rPr>
              <w:t>DNR</w:t>
            </w:r>
          </w:p>
        </w:tc>
        <w:tc>
          <w:tcPr>
            <w:tcW w:w="900" w:type="dxa"/>
          </w:tcPr>
          <w:p>
            <w:pPr>
              <w:pStyle w:val="TableParagraph"/>
              <w:spacing w:line="227" w:lineRule="exact"/>
              <w:ind w:left="111" w:right="109"/>
              <w:jc w:val="center"/>
              <w:rPr>
                <w:sz w:val="20"/>
              </w:rPr>
            </w:pPr>
            <w:r>
              <w:rPr>
                <w:sz w:val="20"/>
              </w:rPr>
              <w:t>47.923</w:t>
            </w:r>
          </w:p>
        </w:tc>
        <w:tc>
          <w:tcPr>
            <w:tcW w:w="989" w:type="dxa"/>
          </w:tcPr>
          <w:p>
            <w:pPr>
              <w:pStyle w:val="TableParagraph"/>
              <w:spacing w:line="230" w:lineRule="exact"/>
              <w:ind w:left="129" w:firstLine="328"/>
              <w:rPr>
                <w:sz w:val="20"/>
              </w:rPr>
            </w:pPr>
            <w:r>
              <w:rPr>
                <w:sz w:val="20"/>
              </w:rPr>
              <w:t>- </w:t>
            </w:r>
            <w:r>
              <w:rPr>
                <w:w w:val="95"/>
                <w:sz w:val="20"/>
              </w:rPr>
              <w:t>122.283</w:t>
            </w:r>
          </w:p>
        </w:tc>
        <w:tc>
          <w:tcPr>
            <w:tcW w:w="828" w:type="dxa"/>
          </w:tcPr>
          <w:p>
            <w:pPr>
              <w:pStyle w:val="TableParagraph"/>
              <w:spacing w:line="227" w:lineRule="exact"/>
              <w:ind w:right="237"/>
              <w:jc w:val="right"/>
              <w:rPr>
                <w:sz w:val="20"/>
              </w:rPr>
            </w:pPr>
            <w:r>
              <w:rPr>
                <w:w w:val="95"/>
                <w:sz w:val="20"/>
              </w:rPr>
              <w:t>604</w:t>
            </w:r>
          </w:p>
        </w:tc>
      </w:tr>
      <w:tr>
        <w:trPr>
          <w:trHeight w:val="228" w:hRule="atLeast"/>
        </w:trPr>
        <w:tc>
          <w:tcPr>
            <w:tcW w:w="883" w:type="dxa"/>
          </w:tcPr>
          <w:p>
            <w:pPr>
              <w:pStyle w:val="TableParagraph"/>
              <w:rPr>
                <w:rFonts w:ascii="Times New Roman"/>
                <w:sz w:val="16"/>
              </w:rPr>
            </w:pPr>
          </w:p>
        </w:tc>
        <w:tc>
          <w:tcPr>
            <w:tcW w:w="1836" w:type="dxa"/>
          </w:tcPr>
          <w:p>
            <w:pPr>
              <w:pStyle w:val="TableParagraph"/>
              <w:spacing w:line="208" w:lineRule="exact"/>
              <w:ind w:left="107"/>
              <w:rPr>
                <w:sz w:val="20"/>
              </w:rPr>
            </w:pPr>
            <w:r>
              <w:rPr>
                <w:sz w:val="20"/>
              </w:rPr>
              <w:t>Whidbey Island</w:t>
            </w:r>
          </w:p>
        </w:tc>
        <w:tc>
          <w:tcPr>
            <w:tcW w:w="900" w:type="dxa"/>
          </w:tcPr>
          <w:p>
            <w:pPr>
              <w:pStyle w:val="TableParagraph"/>
              <w:spacing w:line="208" w:lineRule="exact"/>
              <w:ind w:left="110" w:right="109"/>
              <w:jc w:val="center"/>
              <w:rPr>
                <w:sz w:val="20"/>
              </w:rPr>
            </w:pPr>
            <w:r>
              <w:rPr>
                <w:sz w:val="20"/>
              </w:rPr>
              <w:t>Metar</w:t>
            </w:r>
          </w:p>
        </w:tc>
        <w:tc>
          <w:tcPr>
            <w:tcW w:w="1349" w:type="dxa"/>
          </w:tcPr>
          <w:p>
            <w:pPr>
              <w:pStyle w:val="TableParagraph"/>
              <w:spacing w:line="208" w:lineRule="exact"/>
              <w:ind w:right="334"/>
              <w:jc w:val="right"/>
              <w:rPr>
                <w:sz w:val="20"/>
              </w:rPr>
            </w:pPr>
            <w:r>
              <w:rPr>
                <w:sz w:val="20"/>
              </w:rPr>
              <w:t>450701</w:t>
            </w:r>
          </w:p>
        </w:tc>
        <w:tc>
          <w:tcPr>
            <w:tcW w:w="1171" w:type="dxa"/>
          </w:tcPr>
          <w:p>
            <w:pPr>
              <w:pStyle w:val="TableParagraph"/>
              <w:spacing w:line="208" w:lineRule="exact"/>
              <w:ind w:right="359"/>
              <w:jc w:val="right"/>
              <w:rPr>
                <w:sz w:val="20"/>
              </w:rPr>
            </w:pPr>
            <w:r>
              <w:rPr>
                <w:w w:val="95"/>
                <w:sz w:val="20"/>
              </w:rPr>
              <w:t>DNR</w:t>
            </w:r>
          </w:p>
        </w:tc>
        <w:tc>
          <w:tcPr>
            <w:tcW w:w="900" w:type="dxa"/>
          </w:tcPr>
          <w:p>
            <w:pPr>
              <w:pStyle w:val="TableParagraph"/>
              <w:spacing w:line="208" w:lineRule="exact"/>
              <w:ind w:left="111" w:right="109"/>
              <w:jc w:val="center"/>
              <w:rPr>
                <w:sz w:val="20"/>
              </w:rPr>
            </w:pPr>
            <w:r>
              <w:rPr>
                <w:sz w:val="20"/>
              </w:rPr>
              <w:t>48.349</w:t>
            </w:r>
          </w:p>
        </w:tc>
        <w:tc>
          <w:tcPr>
            <w:tcW w:w="989" w:type="dxa"/>
          </w:tcPr>
          <w:p>
            <w:pPr>
              <w:pStyle w:val="TableParagraph"/>
              <w:spacing w:line="208" w:lineRule="exact"/>
              <w:ind w:left="88" w:right="88"/>
              <w:jc w:val="center"/>
              <w:rPr>
                <w:sz w:val="20"/>
              </w:rPr>
            </w:pPr>
            <w:r>
              <w:rPr>
                <w:sz w:val="20"/>
              </w:rPr>
              <w:t>122.651</w:t>
            </w:r>
          </w:p>
        </w:tc>
        <w:tc>
          <w:tcPr>
            <w:tcW w:w="828" w:type="dxa"/>
          </w:tcPr>
          <w:p>
            <w:pPr>
              <w:pStyle w:val="TableParagraph"/>
              <w:spacing w:line="208" w:lineRule="exact"/>
              <w:ind w:left="281" w:right="274"/>
              <w:jc w:val="center"/>
              <w:rPr>
                <w:sz w:val="20"/>
              </w:rPr>
            </w:pPr>
            <w:r>
              <w:rPr>
                <w:sz w:val="20"/>
              </w:rPr>
              <w:t>46</w:t>
            </w:r>
          </w:p>
        </w:tc>
      </w:tr>
      <w:tr>
        <w:trPr>
          <w:trHeight w:val="460" w:hRule="atLeast"/>
        </w:trPr>
        <w:tc>
          <w:tcPr>
            <w:tcW w:w="883" w:type="dxa"/>
          </w:tcPr>
          <w:p>
            <w:pPr>
              <w:pStyle w:val="TableParagraph"/>
              <w:spacing w:line="227" w:lineRule="exact"/>
              <w:ind w:right="266"/>
              <w:jc w:val="right"/>
              <w:rPr>
                <w:b/>
                <w:sz w:val="20"/>
              </w:rPr>
            </w:pPr>
            <w:r>
              <w:rPr>
                <w:b/>
                <w:w w:val="95"/>
                <w:sz w:val="20"/>
              </w:rPr>
              <w:t>654</w:t>
            </w:r>
          </w:p>
        </w:tc>
        <w:tc>
          <w:tcPr>
            <w:tcW w:w="1836" w:type="dxa"/>
          </w:tcPr>
          <w:p>
            <w:pPr>
              <w:pStyle w:val="TableParagraph"/>
              <w:spacing w:line="229" w:lineRule="exact"/>
              <w:ind w:left="107"/>
              <w:rPr>
                <w:sz w:val="20"/>
              </w:rPr>
            </w:pPr>
            <w:r>
              <w:rPr>
                <w:sz w:val="20"/>
              </w:rPr>
              <w:t>Bremerton</w:t>
            </w:r>
          </w:p>
        </w:tc>
        <w:tc>
          <w:tcPr>
            <w:tcW w:w="900" w:type="dxa"/>
          </w:tcPr>
          <w:p>
            <w:pPr>
              <w:pStyle w:val="TableParagraph"/>
              <w:spacing w:line="229" w:lineRule="exact"/>
              <w:ind w:left="110" w:right="109"/>
              <w:jc w:val="center"/>
              <w:rPr>
                <w:sz w:val="20"/>
              </w:rPr>
            </w:pPr>
            <w:r>
              <w:rPr>
                <w:sz w:val="20"/>
              </w:rPr>
              <w:t>Metar</w:t>
            </w:r>
          </w:p>
        </w:tc>
        <w:tc>
          <w:tcPr>
            <w:tcW w:w="1349" w:type="dxa"/>
          </w:tcPr>
          <w:p>
            <w:pPr>
              <w:pStyle w:val="TableParagraph"/>
              <w:spacing w:line="229" w:lineRule="exact"/>
              <w:ind w:right="334"/>
              <w:jc w:val="right"/>
              <w:rPr>
                <w:sz w:val="20"/>
              </w:rPr>
            </w:pPr>
            <w:r>
              <w:rPr>
                <w:sz w:val="20"/>
              </w:rPr>
              <w:t>450801</w:t>
            </w:r>
          </w:p>
        </w:tc>
        <w:tc>
          <w:tcPr>
            <w:tcW w:w="1171" w:type="dxa"/>
          </w:tcPr>
          <w:p>
            <w:pPr>
              <w:pStyle w:val="TableParagraph"/>
              <w:spacing w:line="229" w:lineRule="exact"/>
              <w:ind w:right="359"/>
              <w:jc w:val="right"/>
              <w:rPr>
                <w:sz w:val="20"/>
              </w:rPr>
            </w:pPr>
            <w:r>
              <w:rPr>
                <w:w w:val="95"/>
                <w:sz w:val="20"/>
              </w:rPr>
              <w:t>DNR</w:t>
            </w:r>
          </w:p>
        </w:tc>
        <w:tc>
          <w:tcPr>
            <w:tcW w:w="900" w:type="dxa"/>
          </w:tcPr>
          <w:p>
            <w:pPr>
              <w:pStyle w:val="TableParagraph"/>
              <w:spacing w:line="229" w:lineRule="exact"/>
              <w:ind w:left="111" w:right="109"/>
              <w:jc w:val="center"/>
              <w:rPr>
                <w:sz w:val="20"/>
              </w:rPr>
            </w:pPr>
            <w:r>
              <w:rPr>
                <w:sz w:val="20"/>
              </w:rPr>
              <w:t>47.490</w:t>
            </w:r>
          </w:p>
        </w:tc>
        <w:tc>
          <w:tcPr>
            <w:tcW w:w="989" w:type="dxa"/>
          </w:tcPr>
          <w:p>
            <w:pPr>
              <w:pStyle w:val="TableParagraph"/>
              <w:spacing w:line="228" w:lineRule="exact" w:before="4"/>
              <w:ind w:left="129" w:firstLine="328"/>
              <w:rPr>
                <w:sz w:val="20"/>
              </w:rPr>
            </w:pPr>
            <w:r>
              <w:rPr>
                <w:sz w:val="20"/>
              </w:rPr>
              <w:t>- </w:t>
            </w:r>
            <w:r>
              <w:rPr>
                <w:w w:val="95"/>
                <w:sz w:val="20"/>
              </w:rPr>
              <w:t>122.765</w:t>
            </w:r>
          </w:p>
        </w:tc>
        <w:tc>
          <w:tcPr>
            <w:tcW w:w="828" w:type="dxa"/>
          </w:tcPr>
          <w:p>
            <w:pPr>
              <w:pStyle w:val="TableParagraph"/>
              <w:spacing w:line="229" w:lineRule="exact"/>
              <w:ind w:right="237"/>
              <w:jc w:val="right"/>
              <w:rPr>
                <w:sz w:val="20"/>
              </w:rPr>
            </w:pPr>
            <w:r>
              <w:rPr>
                <w:w w:val="95"/>
                <w:sz w:val="20"/>
              </w:rPr>
              <w:t>440</w:t>
            </w:r>
          </w:p>
        </w:tc>
      </w:tr>
      <w:tr>
        <w:trPr>
          <w:trHeight w:val="460" w:hRule="atLeast"/>
        </w:trPr>
        <w:tc>
          <w:tcPr>
            <w:tcW w:w="883" w:type="dxa"/>
          </w:tcPr>
          <w:p>
            <w:pPr>
              <w:pStyle w:val="TableParagraph"/>
              <w:rPr>
                <w:rFonts w:ascii="Times New Roman"/>
                <w:sz w:val="18"/>
              </w:rPr>
            </w:pPr>
          </w:p>
        </w:tc>
        <w:tc>
          <w:tcPr>
            <w:tcW w:w="1836" w:type="dxa"/>
          </w:tcPr>
          <w:p>
            <w:pPr>
              <w:pStyle w:val="TableParagraph"/>
              <w:spacing w:line="227" w:lineRule="exact"/>
              <w:ind w:left="107"/>
              <w:rPr>
                <w:sz w:val="20"/>
              </w:rPr>
            </w:pPr>
            <w:r>
              <w:rPr>
                <w:sz w:val="20"/>
              </w:rPr>
              <w:t>Quilcene</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450207</w:t>
            </w:r>
          </w:p>
        </w:tc>
        <w:tc>
          <w:tcPr>
            <w:tcW w:w="1171" w:type="dxa"/>
          </w:tcPr>
          <w:p>
            <w:pPr>
              <w:pStyle w:val="TableParagraph"/>
              <w:spacing w:line="227" w:lineRule="exact"/>
              <w:ind w:right="311"/>
              <w:jc w:val="right"/>
              <w:rPr>
                <w:sz w:val="20"/>
              </w:rPr>
            </w:pPr>
            <w:r>
              <w:rPr>
                <w:sz w:val="20"/>
              </w:rPr>
              <w:t>USFS</w:t>
            </w:r>
          </w:p>
        </w:tc>
        <w:tc>
          <w:tcPr>
            <w:tcW w:w="900" w:type="dxa"/>
          </w:tcPr>
          <w:p>
            <w:pPr>
              <w:pStyle w:val="TableParagraph"/>
              <w:spacing w:line="227" w:lineRule="exact"/>
              <w:ind w:left="111" w:right="109"/>
              <w:jc w:val="center"/>
              <w:rPr>
                <w:sz w:val="20"/>
              </w:rPr>
            </w:pPr>
            <w:r>
              <w:rPr>
                <w:sz w:val="20"/>
              </w:rPr>
              <w:t>47.823</w:t>
            </w:r>
          </w:p>
        </w:tc>
        <w:tc>
          <w:tcPr>
            <w:tcW w:w="989" w:type="dxa"/>
          </w:tcPr>
          <w:p>
            <w:pPr>
              <w:pStyle w:val="TableParagraph"/>
              <w:spacing w:line="230" w:lineRule="exact"/>
              <w:ind w:left="129" w:firstLine="328"/>
              <w:rPr>
                <w:sz w:val="20"/>
              </w:rPr>
            </w:pPr>
            <w:r>
              <w:rPr>
                <w:sz w:val="20"/>
              </w:rPr>
              <w:t>- </w:t>
            </w:r>
            <w:r>
              <w:rPr>
                <w:w w:val="95"/>
                <w:sz w:val="20"/>
              </w:rPr>
              <w:t>122.883</w:t>
            </w:r>
          </w:p>
        </w:tc>
        <w:tc>
          <w:tcPr>
            <w:tcW w:w="828" w:type="dxa"/>
          </w:tcPr>
          <w:p>
            <w:pPr>
              <w:pStyle w:val="TableParagraph"/>
              <w:spacing w:line="227" w:lineRule="exact"/>
              <w:ind w:left="281" w:right="274"/>
              <w:jc w:val="center"/>
              <w:rPr>
                <w:sz w:val="20"/>
              </w:rPr>
            </w:pPr>
            <w:r>
              <w:rPr>
                <w:sz w:val="20"/>
              </w:rPr>
              <w:t>62</w:t>
            </w:r>
          </w:p>
        </w:tc>
      </w:tr>
      <w:tr>
        <w:trPr>
          <w:trHeight w:val="460" w:hRule="atLeast"/>
        </w:trPr>
        <w:tc>
          <w:tcPr>
            <w:tcW w:w="883" w:type="dxa"/>
          </w:tcPr>
          <w:p>
            <w:pPr>
              <w:pStyle w:val="TableParagraph"/>
              <w:rPr>
                <w:rFonts w:ascii="Times New Roman"/>
                <w:sz w:val="18"/>
              </w:rPr>
            </w:pPr>
          </w:p>
        </w:tc>
        <w:tc>
          <w:tcPr>
            <w:tcW w:w="1836" w:type="dxa"/>
          </w:tcPr>
          <w:p>
            <w:pPr>
              <w:pStyle w:val="TableParagraph"/>
              <w:spacing w:line="227" w:lineRule="exact"/>
              <w:ind w:left="107"/>
              <w:rPr>
                <w:sz w:val="20"/>
              </w:rPr>
            </w:pPr>
            <w:r>
              <w:rPr>
                <w:sz w:val="20"/>
              </w:rPr>
              <w:t>Sea-Tac</w:t>
            </w:r>
          </w:p>
        </w:tc>
        <w:tc>
          <w:tcPr>
            <w:tcW w:w="900" w:type="dxa"/>
          </w:tcPr>
          <w:p>
            <w:pPr>
              <w:pStyle w:val="TableParagraph"/>
              <w:spacing w:line="227" w:lineRule="exact"/>
              <w:ind w:left="110" w:right="109"/>
              <w:jc w:val="center"/>
              <w:rPr>
                <w:sz w:val="20"/>
              </w:rPr>
            </w:pPr>
            <w:r>
              <w:rPr>
                <w:sz w:val="20"/>
              </w:rPr>
              <w:t>Metar</w:t>
            </w:r>
          </w:p>
        </w:tc>
        <w:tc>
          <w:tcPr>
            <w:tcW w:w="1349" w:type="dxa"/>
          </w:tcPr>
          <w:p>
            <w:pPr>
              <w:pStyle w:val="TableParagraph"/>
              <w:spacing w:line="227" w:lineRule="exact"/>
              <w:ind w:right="334"/>
              <w:jc w:val="right"/>
              <w:rPr>
                <w:sz w:val="20"/>
              </w:rPr>
            </w:pPr>
            <w:r>
              <w:rPr>
                <w:sz w:val="20"/>
              </w:rPr>
              <w:t>451716</w:t>
            </w:r>
          </w:p>
        </w:tc>
        <w:tc>
          <w:tcPr>
            <w:tcW w:w="1171" w:type="dxa"/>
          </w:tcPr>
          <w:p>
            <w:pPr>
              <w:pStyle w:val="TableParagraph"/>
              <w:spacing w:line="227" w:lineRule="exact"/>
              <w:ind w:right="359"/>
              <w:jc w:val="right"/>
              <w:rPr>
                <w:sz w:val="20"/>
              </w:rPr>
            </w:pPr>
            <w:r>
              <w:rPr>
                <w:w w:val="95"/>
                <w:sz w:val="20"/>
              </w:rPr>
              <w:t>DNR</w:t>
            </w:r>
          </w:p>
        </w:tc>
        <w:tc>
          <w:tcPr>
            <w:tcW w:w="900" w:type="dxa"/>
          </w:tcPr>
          <w:p>
            <w:pPr>
              <w:pStyle w:val="TableParagraph"/>
              <w:spacing w:line="227" w:lineRule="exact"/>
              <w:ind w:left="111" w:right="109"/>
              <w:jc w:val="center"/>
              <w:rPr>
                <w:sz w:val="20"/>
              </w:rPr>
            </w:pPr>
            <w:r>
              <w:rPr>
                <w:sz w:val="20"/>
              </w:rPr>
              <w:t>47.445</w:t>
            </w:r>
          </w:p>
        </w:tc>
        <w:tc>
          <w:tcPr>
            <w:tcW w:w="989" w:type="dxa"/>
          </w:tcPr>
          <w:p>
            <w:pPr>
              <w:pStyle w:val="TableParagraph"/>
              <w:spacing w:line="230" w:lineRule="exact"/>
              <w:ind w:left="129" w:firstLine="328"/>
              <w:rPr>
                <w:sz w:val="20"/>
              </w:rPr>
            </w:pPr>
            <w:r>
              <w:rPr>
                <w:sz w:val="20"/>
              </w:rPr>
              <w:t>- </w:t>
            </w:r>
            <w:r>
              <w:rPr>
                <w:w w:val="95"/>
                <w:sz w:val="20"/>
              </w:rPr>
              <w:t>122.314</w:t>
            </w:r>
          </w:p>
        </w:tc>
        <w:tc>
          <w:tcPr>
            <w:tcW w:w="828" w:type="dxa"/>
          </w:tcPr>
          <w:p>
            <w:pPr>
              <w:pStyle w:val="TableParagraph"/>
              <w:spacing w:line="227" w:lineRule="exact"/>
              <w:ind w:right="237"/>
              <w:jc w:val="right"/>
              <w:rPr>
                <w:sz w:val="20"/>
              </w:rPr>
            </w:pPr>
            <w:r>
              <w:rPr>
                <w:w w:val="95"/>
                <w:sz w:val="20"/>
              </w:rPr>
              <w:t>427</w:t>
            </w:r>
          </w:p>
        </w:tc>
      </w:tr>
      <w:tr>
        <w:trPr>
          <w:trHeight w:val="460" w:hRule="atLeast"/>
        </w:trPr>
        <w:tc>
          <w:tcPr>
            <w:tcW w:w="883" w:type="dxa"/>
          </w:tcPr>
          <w:p>
            <w:pPr>
              <w:pStyle w:val="TableParagraph"/>
              <w:rPr>
                <w:rFonts w:ascii="Times New Roman"/>
                <w:sz w:val="18"/>
              </w:rPr>
            </w:pPr>
          </w:p>
        </w:tc>
        <w:tc>
          <w:tcPr>
            <w:tcW w:w="1836" w:type="dxa"/>
          </w:tcPr>
          <w:p>
            <w:pPr>
              <w:pStyle w:val="TableParagraph"/>
              <w:spacing w:line="230" w:lineRule="exact"/>
              <w:ind w:left="107" w:right="265"/>
              <w:rPr>
                <w:sz w:val="20"/>
              </w:rPr>
            </w:pPr>
            <w:r>
              <w:rPr>
                <w:sz w:val="20"/>
              </w:rPr>
              <w:t>Tacoma (McChord Field)</w:t>
            </w:r>
          </w:p>
        </w:tc>
        <w:tc>
          <w:tcPr>
            <w:tcW w:w="900" w:type="dxa"/>
          </w:tcPr>
          <w:p>
            <w:pPr>
              <w:pStyle w:val="TableParagraph"/>
              <w:spacing w:line="227" w:lineRule="exact"/>
              <w:ind w:left="110" w:right="109"/>
              <w:jc w:val="center"/>
              <w:rPr>
                <w:sz w:val="20"/>
              </w:rPr>
            </w:pPr>
            <w:r>
              <w:rPr>
                <w:sz w:val="20"/>
              </w:rPr>
              <w:t>Metar</w:t>
            </w:r>
          </w:p>
        </w:tc>
        <w:tc>
          <w:tcPr>
            <w:tcW w:w="1349" w:type="dxa"/>
          </w:tcPr>
          <w:p>
            <w:pPr>
              <w:pStyle w:val="TableParagraph"/>
              <w:spacing w:line="227" w:lineRule="exact"/>
              <w:ind w:right="334"/>
              <w:jc w:val="right"/>
              <w:rPr>
                <w:sz w:val="20"/>
              </w:rPr>
            </w:pPr>
            <w:r>
              <w:rPr>
                <w:sz w:val="20"/>
              </w:rPr>
              <w:t>451808</w:t>
            </w:r>
          </w:p>
        </w:tc>
        <w:tc>
          <w:tcPr>
            <w:tcW w:w="1171" w:type="dxa"/>
          </w:tcPr>
          <w:p>
            <w:pPr>
              <w:pStyle w:val="TableParagraph"/>
              <w:spacing w:line="227" w:lineRule="exact"/>
              <w:ind w:right="359"/>
              <w:jc w:val="right"/>
              <w:rPr>
                <w:sz w:val="20"/>
              </w:rPr>
            </w:pPr>
            <w:r>
              <w:rPr>
                <w:w w:val="95"/>
                <w:sz w:val="20"/>
              </w:rPr>
              <w:t>DNR</w:t>
            </w:r>
          </w:p>
        </w:tc>
        <w:tc>
          <w:tcPr>
            <w:tcW w:w="900" w:type="dxa"/>
          </w:tcPr>
          <w:p>
            <w:pPr>
              <w:pStyle w:val="TableParagraph"/>
              <w:spacing w:line="227" w:lineRule="exact"/>
              <w:ind w:left="111" w:right="109"/>
              <w:jc w:val="center"/>
              <w:rPr>
                <w:sz w:val="20"/>
              </w:rPr>
            </w:pPr>
            <w:r>
              <w:rPr>
                <w:sz w:val="20"/>
              </w:rPr>
              <w:t>47.138</w:t>
            </w:r>
          </w:p>
        </w:tc>
        <w:tc>
          <w:tcPr>
            <w:tcW w:w="989" w:type="dxa"/>
          </w:tcPr>
          <w:p>
            <w:pPr>
              <w:pStyle w:val="TableParagraph"/>
              <w:spacing w:line="230" w:lineRule="exact"/>
              <w:ind w:left="129" w:firstLine="328"/>
              <w:rPr>
                <w:sz w:val="20"/>
              </w:rPr>
            </w:pPr>
            <w:r>
              <w:rPr>
                <w:sz w:val="20"/>
              </w:rPr>
              <w:t>- </w:t>
            </w:r>
            <w:r>
              <w:rPr>
                <w:w w:val="95"/>
                <w:sz w:val="20"/>
              </w:rPr>
              <w:t>122.476</w:t>
            </w:r>
          </w:p>
        </w:tc>
        <w:tc>
          <w:tcPr>
            <w:tcW w:w="828" w:type="dxa"/>
          </w:tcPr>
          <w:p>
            <w:pPr>
              <w:pStyle w:val="TableParagraph"/>
              <w:spacing w:line="227" w:lineRule="exact"/>
              <w:ind w:right="237"/>
              <w:jc w:val="right"/>
              <w:rPr>
                <w:sz w:val="20"/>
              </w:rPr>
            </w:pPr>
            <w:r>
              <w:rPr>
                <w:w w:val="95"/>
                <w:sz w:val="20"/>
              </w:rPr>
              <w:t>322</w:t>
            </w:r>
          </w:p>
        </w:tc>
      </w:tr>
      <w:tr>
        <w:trPr>
          <w:trHeight w:val="457" w:hRule="atLeast"/>
        </w:trPr>
        <w:tc>
          <w:tcPr>
            <w:tcW w:w="883" w:type="dxa"/>
          </w:tcPr>
          <w:p>
            <w:pPr>
              <w:pStyle w:val="TableParagraph"/>
              <w:spacing w:line="225" w:lineRule="exact"/>
              <w:ind w:right="266"/>
              <w:jc w:val="right"/>
              <w:rPr>
                <w:b/>
                <w:sz w:val="20"/>
              </w:rPr>
            </w:pPr>
            <w:r>
              <w:rPr>
                <w:b/>
                <w:w w:val="95"/>
                <w:sz w:val="20"/>
              </w:rPr>
              <w:t>655</w:t>
            </w:r>
          </w:p>
        </w:tc>
        <w:tc>
          <w:tcPr>
            <w:tcW w:w="1836" w:type="dxa"/>
          </w:tcPr>
          <w:p>
            <w:pPr>
              <w:pStyle w:val="TableParagraph"/>
              <w:spacing w:line="227" w:lineRule="exact"/>
              <w:ind w:left="107"/>
              <w:rPr>
                <w:sz w:val="20"/>
              </w:rPr>
            </w:pPr>
            <w:r>
              <w:rPr>
                <w:sz w:val="20"/>
              </w:rPr>
              <w:t>Olympia</w:t>
            </w:r>
          </w:p>
        </w:tc>
        <w:tc>
          <w:tcPr>
            <w:tcW w:w="900" w:type="dxa"/>
          </w:tcPr>
          <w:p>
            <w:pPr>
              <w:pStyle w:val="TableParagraph"/>
              <w:spacing w:line="227" w:lineRule="exact"/>
              <w:ind w:left="110" w:right="109"/>
              <w:jc w:val="center"/>
              <w:rPr>
                <w:sz w:val="20"/>
              </w:rPr>
            </w:pPr>
            <w:r>
              <w:rPr>
                <w:sz w:val="20"/>
              </w:rPr>
              <w:t>Metar</w:t>
            </w:r>
          </w:p>
        </w:tc>
        <w:tc>
          <w:tcPr>
            <w:tcW w:w="1349" w:type="dxa"/>
          </w:tcPr>
          <w:p>
            <w:pPr>
              <w:pStyle w:val="TableParagraph"/>
              <w:spacing w:line="227" w:lineRule="exact"/>
              <w:ind w:right="334"/>
              <w:jc w:val="right"/>
              <w:rPr>
                <w:sz w:val="20"/>
              </w:rPr>
            </w:pPr>
            <w:r>
              <w:rPr>
                <w:sz w:val="20"/>
              </w:rPr>
              <w:t>451001</w:t>
            </w:r>
          </w:p>
        </w:tc>
        <w:tc>
          <w:tcPr>
            <w:tcW w:w="1171" w:type="dxa"/>
          </w:tcPr>
          <w:p>
            <w:pPr>
              <w:pStyle w:val="TableParagraph"/>
              <w:spacing w:line="227" w:lineRule="exact"/>
              <w:ind w:right="359"/>
              <w:jc w:val="right"/>
              <w:rPr>
                <w:sz w:val="20"/>
              </w:rPr>
            </w:pPr>
            <w:r>
              <w:rPr>
                <w:w w:val="95"/>
                <w:sz w:val="20"/>
              </w:rPr>
              <w:t>DNR</w:t>
            </w:r>
          </w:p>
        </w:tc>
        <w:tc>
          <w:tcPr>
            <w:tcW w:w="900" w:type="dxa"/>
          </w:tcPr>
          <w:p>
            <w:pPr>
              <w:pStyle w:val="TableParagraph"/>
              <w:spacing w:line="227" w:lineRule="exact"/>
              <w:ind w:left="111" w:right="109"/>
              <w:jc w:val="center"/>
              <w:rPr>
                <w:sz w:val="20"/>
              </w:rPr>
            </w:pPr>
            <w:r>
              <w:rPr>
                <w:sz w:val="20"/>
              </w:rPr>
              <w:t>46.973</w:t>
            </w:r>
          </w:p>
        </w:tc>
        <w:tc>
          <w:tcPr>
            <w:tcW w:w="989" w:type="dxa"/>
          </w:tcPr>
          <w:p>
            <w:pPr>
              <w:pStyle w:val="TableParagraph"/>
              <w:spacing w:line="230" w:lineRule="exact"/>
              <w:ind w:left="129" w:firstLine="328"/>
              <w:rPr>
                <w:sz w:val="20"/>
              </w:rPr>
            </w:pPr>
            <w:r>
              <w:rPr>
                <w:sz w:val="20"/>
              </w:rPr>
              <w:t>- </w:t>
            </w:r>
            <w:r>
              <w:rPr>
                <w:w w:val="95"/>
                <w:sz w:val="20"/>
              </w:rPr>
              <w:t>122.903</w:t>
            </w:r>
          </w:p>
        </w:tc>
        <w:tc>
          <w:tcPr>
            <w:tcW w:w="828" w:type="dxa"/>
          </w:tcPr>
          <w:p>
            <w:pPr>
              <w:pStyle w:val="TableParagraph"/>
              <w:spacing w:line="227" w:lineRule="exact"/>
              <w:ind w:right="237"/>
              <w:jc w:val="right"/>
              <w:rPr>
                <w:sz w:val="20"/>
              </w:rPr>
            </w:pPr>
            <w:r>
              <w:rPr>
                <w:w w:val="95"/>
                <w:sz w:val="20"/>
              </w:rPr>
              <w:t>203</w:t>
            </w:r>
          </w:p>
        </w:tc>
      </w:tr>
      <w:tr>
        <w:trPr>
          <w:trHeight w:val="458" w:hRule="atLeast"/>
        </w:trPr>
        <w:tc>
          <w:tcPr>
            <w:tcW w:w="883" w:type="dxa"/>
          </w:tcPr>
          <w:p>
            <w:pPr>
              <w:pStyle w:val="TableParagraph"/>
              <w:rPr>
                <w:rFonts w:ascii="Times New Roman"/>
                <w:sz w:val="18"/>
              </w:rPr>
            </w:pPr>
          </w:p>
        </w:tc>
        <w:tc>
          <w:tcPr>
            <w:tcW w:w="1836" w:type="dxa"/>
          </w:tcPr>
          <w:p>
            <w:pPr>
              <w:pStyle w:val="TableParagraph"/>
              <w:spacing w:line="227" w:lineRule="exact"/>
              <w:ind w:left="107"/>
              <w:rPr>
                <w:sz w:val="20"/>
              </w:rPr>
            </w:pPr>
            <w:r>
              <w:rPr>
                <w:sz w:val="20"/>
              </w:rPr>
              <w:t>Chehalis</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451103</w:t>
            </w:r>
          </w:p>
        </w:tc>
        <w:tc>
          <w:tcPr>
            <w:tcW w:w="1171" w:type="dxa"/>
          </w:tcPr>
          <w:p>
            <w:pPr>
              <w:pStyle w:val="TableParagraph"/>
              <w:spacing w:line="227" w:lineRule="exact"/>
              <w:ind w:right="359"/>
              <w:jc w:val="right"/>
              <w:rPr>
                <w:sz w:val="20"/>
              </w:rPr>
            </w:pPr>
            <w:r>
              <w:rPr>
                <w:w w:val="95"/>
                <w:sz w:val="20"/>
              </w:rPr>
              <w:t>DNR</w:t>
            </w:r>
          </w:p>
        </w:tc>
        <w:tc>
          <w:tcPr>
            <w:tcW w:w="900" w:type="dxa"/>
          </w:tcPr>
          <w:p>
            <w:pPr>
              <w:pStyle w:val="TableParagraph"/>
              <w:spacing w:line="227" w:lineRule="exact"/>
              <w:ind w:left="111" w:right="109"/>
              <w:jc w:val="center"/>
              <w:rPr>
                <w:sz w:val="20"/>
              </w:rPr>
            </w:pPr>
            <w:r>
              <w:rPr>
                <w:sz w:val="20"/>
              </w:rPr>
              <w:t>46.610</w:t>
            </w:r>
          </w:p>
        </w:tc>
        <w:tc>
          <w:tcPr>
            <w:tcW w:w="989" w:type="dxa"/>
          </w:tcPr>
          <w:p>
            <w:pPr>
              <w:pStyle w:val="TableParagraph"/>
              <w:spacing w:line="228" w:lineRule="exact" w:before="2"/>
              <w:ind w:left="129" w:firstLine="328"/>
              <w:rPr>
                <w:sz w:val="20"/>
              </w:rPr>
            </w:pPr>
            <w:r>
              <w:rPr>
                <w:sz w:val="20"/>
              </w:rPr>
              <w:t>- </w:t>
            </w:r>
            <w:r>
              <w:rPr>
                <w:w w:val="95"/>
                <w:sz w:val="20"/>
              </w:rPr>
              <w:t>122.908</w:t>
            </w:r>
          </w:p>
        </w:tc>
        <w:tc>
          <w:tcPr>
            <w:tcW w:w="828" w:type="dxa"/>
          </w:tcPr>
          <w:p>
            <w:pPr>
              <w:pStyle w:val="TableParagraph"/>
              <w:spacing w:line="227" w:lineRule="exact"/>
              <w:ind w:right="237"/>
              <w:jc w:val="right"/>
              <w:rPr>
                <w:sz w:val="20"/>
              </w:rPr>
            </w:pPr>
            <w:r>
              <w:rPr>
                <w:w w:val="95"/>
                <w:sz w:val="20"/>
              </w:rPr>
              <w:t>262</w:t>
            </w:r>
          </w:p>
        </w:tc>
      </w:tr>
      <w:tr>
        <w:trPr>
          <w:trHeight w:val="460" w:hRule="atLeast"/>
        </w:trPr>
        <w:tc>
          <w:tcPr>
            <w:tcW w:w="883" w:type="dxa"/>
          </w:tcPr>
          <w:p>
            <w:pPr>
              <w:pStyle w:val="TableParagraph"/>
              <w:spacing w:line="225" w:lineRule="exact"/>
              <w:ind w:right="266"/>
              <w:jc w:val="right"/>
              <w:rPr>
                <w:b/>
                <w:sz w:val="20"/>
              </w:rPr>
            </w:pPr>
            <w:r>
              <w:rPr>
                <w:b/>
                <w:w w:val="95"/>
                <w:sz w:val="20"/>
              </w:rPr>
              <w:t>656</w:t>
            </w:r>
          </w:p>
        </w:tc>
        <w:tc>
          <w:tcPr>
            <w:tcW w:w="1836" w:type="dxa"/>
          </w:tcPr>
          <w:p>
            <w:pPr>
              <w:pStyle w:val="TableParagraph"/>
              <w:spacing w:line="227" w:lineRule="exact"/>
              <w:ind w:left="107"/>
              <w:rPr>
                <w:sz w:val="20"/>
              </w:rPr>
            </w:pPr>
            <w:r>
              <w:rPr>
                <w:sz w:val="20"/>
              </w:rPr>
              <w:t>Sedro Woolley</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451507</w:t>
            </w:r>
          </w:p>
        </w:tc>
        <w:tc>
          <w:tcPr>
            <w:tcW w:w="1171" w:type="dxa"/>
          </w:tcPr>
          <w:p>
            <w:pPr>
              <w:pStyle w:val="TableParagraph"/>
              <w:spacing w:line="227" w:lineRule="exact"/>
              <w:ind w:right="359"/>
              <w:jc w:val="right"/>
              <w:rPr>
                <w:sz w:val="20"/>
              </w:rPr>
            </w:pPr>
            <w:r>
              <w:rPr>
                <w:w w:val="95"/>
                <w:sz w:val="20"/>
              </w:rPr>
              <w:t>DNR</w:t>
            </w:r>
          </w:p>
        </w:tc>
        <w:tc>
          <w:tcPr>
            <w:tcW w:w="900" w:type="dxa"/>
          </w:tcPr>
          <w:p>
            <w:pPr>
              <w:pStyle w:val="TableParagraph"/>
              <w:spacing w:line="227" w:lineRule="exact"/>
              <w:ind w:left="111" w:right="109"/>
              <w:jc w:val="center"/>
              <w:rPr>
                <w:sz w:val="20"/>
              </w:rPr>
            </w:pPr>
            <w:r>
              <w:rPr>
                <w:sz w:val="20"/>
              </w:rPr>
              <w:t>48.522</w:t>
            </w:r>
          </w:p>
        </w:tc>
        <w:tc>
          <w:tcPr>
            <w:tcW w:w="989" w:type="dxa"/>
          </w:tcPr>
          <w:p>
            <w:pPr>
              <w:pStyle w:val="TableParagraph"/>
              <w:spacing w:line="230" w:lineRule="exact"/>
              <w:ind w:left="129" w:firstLine="328"/>
              <w:rPr>
                <w:sz w:val="20"/>
              </w:rPr>
            </w:pPr>
            <w:r>
              <w:rPr>
                <w:sz w:val="20"/>
              </w:rPr>
              <w:t>- </w:t>
            </w:r>
            <w:r>
              <w:rPr>
                <w:w w:val="95"/>
                <w:sz w:val="20"/>
              </w:rPr>
              <w:t>122.224</w:t>
            </w:r>
          </w:p>
        </w:tc>
        <w:tc>
          <w:tcPr>
            <w:tcW w:w="828" w:type="dxa"/>
          </w:tcPr>
          <w:p>
            <w:pPr>
              <w:pStyle w:val="TableParagraph"/>
              <w:spacing w:line="227" w:lineRule="exact"/>
              <w:ind w:right="237"/>
              <w:jc w:val="right"/>
              <w:rPr>
                <w:sz w:val="20"/>
              </w:rPr>
            </w:pPr>
            <w:r>
              <w:rPr>
                <w:w w:val="95"/>
                <w:sz w:val="20"/>
              </w:rPr>
              <w:t>217</w:t>
            </w:r>
          </w:p>
        </w:tc>
      </w:tr>
      <w:tr>
        <w:trPr>
          <w:trHeight w:val="460" w:hRule="atLeast"/>
        </w:trPr>
        <w:tc>
          <w:tcPr>
            <w:tcW w:w="883" w:type="dxa"/>
          </w:tcPr>
          <w:p>
            <w:pPr>
              <w:pStyle w:val="TableParagraph"/>
              <w:rPr>
                <w:rFonts w:ascii="Times New Roman"/>
                <w:sz w:val="18"/>
              </w:rPr>
            </w:pPr>
          </w:p>
        </w:tc>
        <w:tc>
          <w:tcPr>
            <w:tcW w:w="1836" w:type="dxa"/>
          </w:tcPr>
          <w:p>
            <w:pPr>
              <w:pStyle w:val="TableParagraph"/>
              <w:spacing w:line="227" w:lineRule="exact"/>
              <w:ind w:left="107"/>
              <w:rPr>
                <w:sz w:val="20"/>
              </w:rPr>
            </w:pPr>
            <w:r>
              <w:rPr>
                <w:sz w:val="20"/>
              </w:rPr>
              <w:t>Marblemount</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451504</w:t>
            </w:r>
          </w:p>
        </w:tc>
        <w:tc>
          <w:tcPr>
            <w:tcW w:w="1171" w:type="dxa"/>
          </w:tcPr>
          <w:p>
            <w:pPr>
              <w:pStyle w:val="TableParagraph"/>
              <w:spacing w:line="227" w:lineRule="exact"/>
              <w:ind w:right="371"/>
              <w:jc w:val="right"/>
              <w:rPr>
                <w:sz w:val="20"/>
              </w:rPr>
            </w:pPr>
            <w:r>
              <w:rPr>
                <w:w w:val="95"/>
                <w:sz w:val="20"/>
              </w:rPr>
              <w:t>NPS</w:t>
            </w:r>
          </w:p>
        </w:tc>
        <w:tc>
          <w:tcPr>
            <w:tcW w:w="900" w:type="dxa"/>
          </w:tcPr>
          <w:p>
            <w:pPr>
              <w:pStyle w:val="TableParagraph"/>
              <w:spacing w:line="227" w:lineRule="exact"/>
              <w:ind w:left="111" w:right="109"/>
              <w:jc w:val="center"/>
              <w:rPr>
                <w:sz w:val="20"/>
              </w:rPr>
            </w:pPr>
            <w:r>
              <w:rPr>
                <w:sz w:val="20"/>
              </w:rPr>
              <w:t>48.539</w:t>
            </w:r>
          </w:p>
        </w:tc>
        <w:tc>
          <w:tcPr>
            <w:tcW w:w="989" w:type="dxa"/>
          </w:tcPr>
          <w:p>
            <w:pPr>
              <w:pStyle w:val="TableParagraph"/>
              <w:spacing w:line="230" w:lineRule="exact"/>
              <w:ind w:left="129" w:firstLine="328"/>
              <w:rPr>
                <w:sz w:val="20"/>
              </w:rPr>
            </w:pPr>
            <w:r>
              <w:rPr>
                <w:sz w:val="20"/>
              </w:rPr>
              <w:t>- </w:t>
            </w:r>
            <w:r>
              <w:rPr>
                <w:w w:val="95"/>
                <w:sz w:val="20"/>
              </w:rPr>
              <w:t>121.446</w:t>
            </w:r>
          </w:p>
        </w:tc>
        <w:tc>
          <w:tcPr>
            <w:tcW w:w="828" w:type="dxa"/>
          </w:tcPr>
          <w:p>
            <w:pPr>
              <w:pStyle w:val="TableParagraph"/>
              <w:spacing w:line="227" w:lineRule="exact"/>
              <w:ind w:right="237"/>
              <w:jc w:val="right"/>
              <w:rPr>
                <w:sz w:val="20"/>
              </w:rPr>
            </w:pPr>
            <w:r>
              <w:rPr>
                <w:w w:val="95"/>
                <w:sz w:val="20"/>
              </w:rPr>
              <w:t>357</w:t>
            </w:r>
          </w:p>
        </w:tc>
      </w:tr>
      <w:tr>
        <w:trPr>
          <w:trHeight w:val="460" w:hRule="atLeast"/>
        </w:trPr>
        <w:tc>
          <w:tcPr>
            <w:tcW w:w="883" w:type="dxa"/>
          </w:tcPr>
          <w:p>
            <w:pPr>
              <w:pStyle w:val="TableParagraph"/>
              <w:spacing w:line="225" w:lineRule="exact"/>
              <w:ind w:right="266"/>
              <w:jc w:val="right"/>
              <w:rPr>
                <w:b/>
                <w:sz w:val="20"/>
              </w:rPr>
            </w:pPr>
            <w:r>
              <w:rPr>
                <w:b/>
                <w:w w:val="95"/>
                <w:sz w:val="20"/>
              </w:rPr>
              <w:t>657</w:t>
            </w:r>
          </w:p>
        </w:tc>
        <w:tc>
          <w:tcPr>
            <w:tcW w:w="1836" w:type="dxa"/>
          </w:tcPr>
          <w:p>
            <w:pPr>
              <w:pStyle w:val="TableParagraph"/>
              <w:spacing w:line="227" w:lineRule="exact"/>
              <w:ind w:left="107"/>
              <w:rPr>
                <w:sz w:val="20"/>
              </w:rPr>
            </w:pPr>
            <w:r>
              <w:rPr>
                <w:sz w:val="20"/>
              </w:rPr>
              <w:t>Enumclaw</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451702</w:t>
            </w:r>
          </w:p>
        </w:tc>
        <w:tc>
          <w:tcPr>
            <w:tcW w:w="1171" w:type="dxa"/>
          </w:tcPr>
          <w:p>
            <w:pPr>
              <w:pStyle w:val="TableParagraph"/>
              <w:spacing w:line="227" w:lineRule="exact"/>
              <w:ind w:right="359"/>
              <w:jc w:val="right"/>
              <w:rPr>
                <w:sz w:val="20"/>
              </w:rPr>
            </w:pPr>
            <w:r>
              <w:rPr>
                <w:w w:val="95"/>
                <w:sz w:val="20"/>
              </w:rPr>
              <w:t>DNR</w:t>
            </w:r>
          </w:p>
        </w:tc>
        <w:tc>
          <w:tcPr>
            <w:tcW w:w="900" w:type="dxa"/>
          </w:tcPr>
          <w:p>
            <w:pPr>
              <w:pStyle w:val="TableParagraph"/>
              <w:spacing w:line="227" w:lineRule="exact"/>
              <w:ind w:left="111" w:right="109"/>
              <w:jc w:val="center"/>
              <w:rPr>
                <w:sz w:val="20"/>
              </w:rPr>
            </w:pPr>
            <w:r>
              <w:rPr>
                <w:sz w:val="20"/>
              </w:rPr>
              <w:t>47.220</w:t>
            </w:r>
          </w:p>
        </w:tc>
        <w:tc>
          <w:tcPr>
            <w:tcW w:w="989" w:type="dxa"/>
          </w:tcPr>
          <w:p>
            <w:pPr>
              <w:pStyle w:val="TableParagraph"/>
              <w:spacing w:line="230" w:lineRule="exact"/>
              <w:ind w:left="129" w:firstLine="328"/>
              <w:rPr>
                <w:sz w:val="20"/>
              </w:rPr>
            </w:pPr>
            <w:r>
              <w:rPr>
                <w:sz w:val="20"/>
              </w:rPr>
              <w:t>- </w:t>
            </w:r>
            <w:r>
              <w:rPr>
                <w:w w:val="95"/>
                <w:sz w:val="20"/>
              </w:rPr>
              <w:t>121.964</w:t>
            </w:r>
          </w:p>
        </w:tc>
        <w:tc>
          <w:tcPr>
            <w:tcW w:w="828" w:type="dxa"/>
          </w:tcPr>
          <w:p>
            <w:pPr>
              <w:pStyle w:val="TableParagraph"/>
              <w:spacing w:line="227" w:lineRule="exact"/>
              <w:ind w:right="237"/>
              <w:jc w:val="right"/>
              <w:rPr>
                <w:sz w:val="20"/>
              </w:rPr>
            </w:pPr>
            <w:r>
              <w:rPr>
                <w:w w:val="95"/>
                <w:sz w:val="20"/>
              </w:rPr>
              <w:t>756</w:t>
            </w:r>
          </w:p>
        </w:tc>
      </w:tr>
      <w:tr>
        <w:trPr>
          <w:trHeight w:val="460" w:hRule="atLeast"/>
        </w:trPr>
        <w:tc>
          <w:tcPr>
            <w:tcW w:w="883" w:type="dxa"/>
          </w:tcPr>
          <w:p>
            <w:pPr>
              <w:pStyle w:val="TableParagraph"/>
              <w:rPr>
                <w:rFonts w:ascii="Times New Roman"/>
                <w:sz w:val="18"/>
              </w:rPr>
            </w:pPr>
          </w:p>
        </w:tc>
        <w:tc>
          <w:tcPr>
            <w:tcW w:w="1836" w:type="dxa"/>
          </w:tcPr>
          <w:p>
            <w:pPr>
              <w:pStyle w:val="TableParagraph"/>
              <w:spacing w:line="227" w:lineRule="exact"/>
              <w:ind w:left="107"/>
              <w:rPr>
                <w:sz w:val="20"/>
              </w:rPr>
            </w:pPr>
            <w:r>
              <w:rPr>
                <w:sz w:val="20"/>
              </w:rPr>
              <w:t>Ashford</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451809</w:t>
            </w:r>
          </w:p>
        </w:tc>
        <w:tc>
          <w:tcPr>
            <w:tcW w:w="1171" w:type="dxa"/>
          </w:tcPr>
          <w:p>
            <w:pPr>
              <w:pStyle w:val="TableParagraph"/>
              <w:spacing w:line="227" w:lineRule="exact"/>
              <w:ind w:right="359"/>
              <w:jc w:val="right"/>
              <w:rPr>
                <w:sz w:val="20"/>
              </w:rPr>
            </w:pPr>
            <w:r>
              <w:rPr>
                <w:w w:val="95"/>
                <w:sz w:val="20"/>
              </w:rPr>
              <w:t>DNR</w:t>
            </w:r>
          </w:p>
        </w:tc>
        <w:tc>
          <w:tcPr>
            <w:tcW w:w="900" w:type="dxa"/>
          </w:tcPr>
          <w:p>
            <w:pPr>
              <w:pStyle w:val="TableParagraph"/>
              <w:spacing w:line="227" w:lineRule="exact"/>
              <w:ind w:left="111" w:right="109"/>
              <w:jc w:val="center"/>
              <w:rPr>
                <w:sz w:val="20"/>
              </w:rPr>
            </w:pPr>
            <w:r>
              <w:rPr>
                <w:sz w:val="20"/>
              </w:rPr>
              <w:t>46.755</w:t>
            </w:r>
          </w:p>
        </w:tc>
        <w:tc>
          <w:tcPr>
            <w:tcW w:w="989" w:type="dxa"/>
          </w:tcPr>
          <w:p>
            <w:pPr>
              <w:pStyle w:val="TableParagraph"/>
              <w:spacing w:line="230" w:lineRule="exact"/>
              <w:ind w:left="129" w:firstLine="328"/>
              <w:rPr>
                <w:sz w:val="20"/>
              </w:rPr>
            </w:pPr>
            <w:r>
              <w:rPr>
                <w:sz w:val="20"/>
              </w:rPr>
              <w:t>- </w:t>
            </w:r>
            <w:r>
              <w:rPr>
                <w:w w:val="95"/>
                <w:sz w:val="20"/>
              </w:rPr>
              <w:t>122.110</w:t>
            </w:r>
          </w:p>
        </w:tc>
        <w:tc>
          <w:tcPr>
            <w:tcW w:w="828" w:type="dxa"/>
          </w:tcPr>
          <w:p>
            <w:pPr>
              <w:pStyle w:val="TableParagraph"/>
              <w:spacing w:line="227" w:lineRule="exact"/>
              <w:ind w:right="182"/>
              <w:jc w:val="right"/>
              <w:rPr>
                <w:sz w:val="20"/>
              </w:rPr>
            </w:pPr>
            <w:r>
              <w:rPr>
                <w:w w:val="95"/>
                <w:sz w:val="20"/>
              </w:rPr>
              <w:t>1421</w:t>
            </w:r>
          </w:p>
        </w:tc>
      </w:tr>
      <w:tr>
        <w:trPr>
          <w:trHeight w:val="457" w:hRule="atLeast"/>
        </w:trPr>
        <w:tc>
          <w:tcPr>
            <w:tcW w:w="883" w:type="dxa"/>
          </w:tcPr>
          <w:p>
            <w:pPr>
              <w:pStyle w:val="TableParagraph"/>
              <w:spacing w:line="225" w:lineRule="exact"/>
              <w:ind w:right="266"/>
              <w:jc w:val="right"/>
              <w:rPr>
                <w:b/>
                <w:sz w:val="20"/>
              </w:rPr>
            </w:pPr>
            <w:r>
              <w:rPr>
                <w:b/>
                <w:w w:val="95"/>
                <w:sz w:val="20"/>
              </w:rPr>
              <w:t>658</w:t>
            </w:r>
          </w:p>
        </w:tc>
        <w:tc>
          <w:tcPr>
            <w:tcW w:w="1836" w:type="dxa"/>
          </w:tcPr>
          <w:p>
            <w:pPr>
              <w:pStyle w:val="TableParagraph"/>
              <w:spacing w:line="227" w:lineRule="exact"/>
              <w:ind w:left="107"/>
              <w:rPr>
                <w:sz w:val="20"/>
              </w:rPr>
            </w:pPr>
            <w:r>
              <w:rPr>
                <w:sz w:val="20"/>
              </w:rPr>
              <w:t>Kidney Creek</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451409</w:t>
            </w:r>
          </w:p>
        </w:tc>
        <w:tc>
          <w:tcPr>
            <w:tcW w:w="1171" w:type="dxa"/>
          </w:tcPr>
          <w:p>
            <w:pPr>
              <w:pStyle w:val="TableParagraph"/>
              <w:spacing w:line="227" w:lineRule="exact"/>
              <w:ind w:right="311"/>
              <w:jc w:val="right"/>
              <w:rPr>
                <w:sz w:val="20"/>
              </w:rPr>
            </w:pPr>
            <w:r>
              <w:rPr>
                <w:sz w:val="20"/>
              </w:rPr>
              <w:t>USFS</w:t>
            </w:r>
          </w:p>
        </w:tc>
        <w:tc>
          <w:tcPr>
            <w:tcW w:w="900" w:type="dxa"/>
          </w:tcPr>
          <w:p>
            <w:pPr>
              <w:pStyle w:val="TableParagraph"/>
              <w:spacing w:line="227" w:lineRule="exact"/>
              <w:ind w:left="111" w:right="109"/>
              <w:jc w:val="center"/>
              <w:rPr>
                <w:sz w:val="20"/>
              </w:rPr>
            </w:pPr>
            <w:r>
              <w:rPr>
                <w:sz w:val="20"/>
              </w:rPr>
              <w:t>48.920</w:t>
            </w:r>
          </w:p>
        </w:tc>
        <w:tc>
          <w:tcPr>
            <w:tcW w:w="989" w:type="dxa"/>
          </w:tcPr>
          <w:p>
            <w:pPr>
              <w:pStyle w:val="TableParagraph"/>
              <w:spacing w:line="230" w:lineRule="exact"/>
              <w:ind w:left="129" w:firstLine="328"/>
              <w:rPr>
                <w:sz w:val="20"/>
              </w:rPr>
            </w:pPr>
            <w:r>
              <w:rPr>
                <w:sz w:val="20"/>
              </w:rPr>
              <w:t>- </w:t>
            </w:r>
            <w:r>
              <w:rPr>
                <w:w w:val="95"/>
                <w:sz w:val="20"/>
              </w:rPr>
              <w:t>121.943</w:t>
            </w:r>
          </w:p>
        </w:tc>
        <w:tc>
          <w:tcPr>
            <w:tcW w:w="828" w:type="dxa"/>
          </w:tcPr>
          <w:p>
            <w:pPr>
              <w:pStyle w:val="TableParagraph"/>
              <w:spacing w:line="227" w:lineRule="exact"/>
              <w:ind w:right="182"/>
              <w:jc w:val="right"/>
              <w:rPr>
                <w:sz w:val="20"/>
              </w:rPr>
            </w:pPr>
            <w:r>
              <w:rPr>
                <w:w w:val="95"/>
                <w:sz w:val="20"/>
              </w:rPr>
              <w:t>3485</w:t>
            </w:r>
          </w:p>
        </w:tc>
      </w:tr>
      <w:tr>
        <w:trPr>
          <w:trHeight w:val="458" w:hRule="atLeast"/>
        </w:trPr>
        <w:tc>
          <w:tcPr>
            <w:tcW w:w="883" w:type="dxa"/>
          </w:tcPr>
          <w:p>
            <w:pPr>
              <w:pStyle w:val="TableParagraph"/>
              <w:rPr>
                <w:rFonts w:ascii="Times New Roman"/>
                <w:sz w:val="18"/>
              </w:rPr>
            </w:pPr>
          </w:p>
        </w:tc>
        <w:tc>
          <w:tcPr>
            <w:tcW w:w="1836" w:type="dxa"/>
          </w:tcPr>
          <w:p>
            <w:pPr>
              <w:pStyle w:val="TableParagraph"/>
              <w:spacing w:line="227" w:lineRule="exact"/>
              <w:ind w:left="107"/>
              <w:rPr>
                <w:sz w:val="20"/>
              </w:rPr>
            </w:pPr>
            <w:r>
              <w:rPr>
                <w:sz w:val="20"/>
              </w:rPr>
              <w:t>Hozomeen</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451412</w:t>
            </w:r>
          </w:p>
        </w:tc>
        <w:tc>
          <w:tcPr>
            <w:tcW w:w="1171" w:type="dxa"/>
          </w:tcPr>
          <w:p>
            <w:pPr>
              <w:pStyle w:val="TableParagraph"/>
              <w:spacing w:line="227" w:lineRule="exact"/>
              <w:ind w:right="371"/>
              <w:jc w:val="right"/>
              <w:rPr>
                <w:sz w:val="20"/>
              </w:rPr>
            </w:pPr>
            <w:r>
              <w:rPr>
                <w:w w:val="95"/>
                <w:sz w:val="20"/>
              </w:rPr>
              <w:t>NPS</w:t>
            </w:r>
          </w:p>
        </w:tc>
        <w:tc>
          <w:tcPr>
            <w:tcW w:w="900" w:type="dxa"/>
          </w:tcPr>
          <w:p>
            <w:pPr>
              <w:pStyle w:val="TableParagraph"/>
              <w:spacing w:line="227" w:lineRule="exact"/>
              <w:ind w:left="111" w:right="109"/>
              <w:jc w:val="center"/>
              <w:rPr>
                <w:sz w:val="20"/>
              </w:rPr>
            </w:pPr>
            <w:r>
              <w:rPr>
                <w:sz w:val="20"/>
              </w:rPr>
              <w:t>48.981</w:t>
            </w:r>
          </w:p>
        </w:tc>
        <w:tc>
          <w:tcPr>
            <w:tcW w:w="989" w:type="dxa"/>
          </w:tcPr>
          <w:p>
            <w:pPr>
              <w:pStyle w:val="TableParagraph"/>
              <w:spacing w:line="228" w:lineRule="exact" w:before="2"/>
              <w:ind w:left="129" w:firstLine="328"/>
              <w:rPr>
                <w:sz w:val="20"/>
              </w:rPr>
            </w:pPr>
            <w:r>
              <w:rPr>
                <w:sz w:val="20"/>
              </w:rPr>
              <w:t>- </w:t>
            </w:r>
            <w:r>
              <w:rPr>
                <w:w w:val="95"/>
                <w:sz w:val="20"/>
              </w:rPr>
              <w:t>121.078</w:t>
            </w:r>
          </w:p>
        </w:tc>
        <w:tc>
          <w:tcPr>
            <w:tcW w:w="828" w:type="dxa"/>
          </w:tcPr>
          <w:p>
            <w:pPr>
              <w:pStyle w:val="TableParagraph"/>
              <w:spacing w:line="227" w:lineRule="exact"/>
              <w:ind w:right="182"/>
              <w:jc w:val="right"/>
              <w:rPr>
                <w:sz w:val="20"/>
              </w:rPr>
            </w:pPr>
            <w:r>
              <w:rPr>
                <w:w w:val="95"/>
                <w:sz w:val="20"/>
              </w:rPr>
              <w:t>1700</w:t>
            </w:r>
          </w:p>
        </w:tc>
      </w:tr>
      <w:tr>
        <w:trPr>
          <w:trHeight w:val="460" w:hRule="atLeast"/>
        </w:trPr>
        <w:tc>
          <w:tcPr>
            <w:tcW w:w="883" w:type="dxa"/>
          </w:tcPr>
          <w:p>
            <w:pPr>
              <w:pStyle w:val="TableParagraph"/>
              <w:rPr>
                <w:rFonts w:ascii="Times New Roman"/>
                <w:sz w:val="18"/>
              </w:rPr>
            </w:pPr>
          </w:p>
        </w:tc>
        <w:tc>
          <w:tcPr>
            <w:tcW w:w="1836" w:type="dxa"/>
          </w:tcPr>
          <w:p>
            <w:pPr>
              <w:pStyle w:val="TableParagraph"/>
              <w:spacing w:line="227" w:lineRule="exact"/>
              <w:ind w:left="107"/>
              <w:rPr>
                <w:sz w:val="20"/>
              </w:rPr>
            </w:pPr>
            <w:r>
              <w:rPr>
                <w:sz w:val="20"/>
              </w:rPr>
              <w:t>Sumas Mtn.</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451415</w:t>
            </w:r>
          </w:p>
        </w:tc>
        <w:tc>
          <w:tcPr>
            <w:tcW w:w="1171" w:type="dxa"/>
          </w:tcPr>
          <w:p>
            <w:pPr>
              <w:pStyle w:val="TableParagraph"/>
              <w:spacing w:line="227" w:lineRule="exact"/>
              <w:ind w:right="359"/>
              <w:jc w:val="right"/>
              <w:rPr>
                <w:sz w:val="20"/>
              </w:rPr>
            </w:pPr>
            <w:r>
              <w:rPr>
                <w:w w:val="95"/>
                <w:sz w:val="20"/>
              </w:rPr>
              <w:t>DNR</w:t>
            </w:r>
          </w:p>
        </w:tc>
        <w:tc>
          <w:tcPr>
            <w:tcW w:w="900" w:type="dxa"/>
          </w:tcPr>
          <w:p>
            <w:pPr>
              <w:pStyle w:val="TableParagraph"/>
              <w:spacing w:line="227" w:lineRule="exact"/>
              <w:ind w:left="111" w:right="109"/>
              <w:jc w:val="center"/>
              <w:rPr>
                <w:sz w:val="20"/>
              </w:rPr>
            </w:pPr>
            <w:r>
              <w:rPr>
                <w:sz w:val="20"/>
              </w:rPr>
              <w:t>48.908</w:t>
            </w:r>
          </w:p>
        </w:tc>
        <w:tc>
          <w:tcPr>
            <w:tcW w:w="989" w:type="dxa"/>
          </w:tcPr>
          <w:p>
            <w:pPr>
              <w:pStyle w:val="TableParagraph"/>
              <w:spacing w:line="230" w:lineRule="exact"/>
              <w:ind w:left="129" w:firstLine="328"/>
              <w:rPr>
                <w:sz w:val="20"/>
              </w:rPr>
            </w:pPr>
            <w:r>
              <w:rPr>
                <w:sz w:val="20"/>
              </w:rPr>
              <w:t>- </w:t>
            </w:r>
            <w:r>
              <w:rPr>
                <w:w w:val="95"/>
                <w:sz w:val="20"/>
              </w:rPr>
              <w:t>122.223</w:t>
            </w:r>
          </w:p>
        </w:tc>
        <w:tc>
          <w:tcPr>
            <w:tcW w:w="828" w:type="dxa"/>
          </w:tcPr>
          <w:p>
            <w:pPr>
              <w:pStyle w:val="TableParagraph"/>
              <w:spacing w:line="227" w:lineRule="exact"/>
              <w:ind w:right="182"/>
              <w:jc w:val="right"/>
              <w:rPr>
                <w:sz w:val="20"/>
              </w:rPr>
            </w:pPr>
            <w:r>
              <w:rPr>
                <w:w w:val="95"/>
                <w:sz w:val="20"/>
              </w:rPr>
              <w:t>3200</w:t>
            </w:r>
          </w:p>
        </w:tc>
      </w:tr>
      <w:tr>
        <w:trPr>
          <w:trHeight w:val="460" w:hRule="atLeast"/>
        </w:trPr>
        <w:tc>
          <w:tcPr>
            <w:tcW w:w="883" w:type="dxa"/>
          </w:tcPr>
          <w:p>
            <w:pPr>
              <w:pStyle w:val="TableParagraph"/>
              <w:rPr>
                <w:rFonts w:ascii="Times New Roman"/>
                <w:sz w:val="18"/>
              </w:rPr>
            </w:pPr>
          </w:p>
        </w:tc>
        <w:tc>
          <w:tcPr>
            <w:tcW w:w="1836" w:type="dxa"/>
          </w:tcPr>
          <w:p>
            <w:pPr>
              <w:pStyle w:val="TableParagraph"/>
              <w:spacing w:line="227" w:lineRule="exact"/>
              <w:ind w:left="107"/>
              <w:rPr>
                <w:sz w:val="20"/>
              </w:rPr>
            </w:pPr>
            <w:r>
              <w:rPr>
                <w:sz w:val="20"/>
              </w:rPr>
              <w:t>Finney Creek</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451509</w:t>
            </w:r>
          </w:p>
        </w:tc>
        <w:tc>
          <w:tcPr>
            <w:tcW w:w="1171" w:type="dxa"/>
          </w:tcPr>
          <w:p>
            <w:pPr>
              <w:pStyle w:val="TableParagraph"/>
              <w:spacing w:line="227" w:lineRule="exact"/>
              <w:ind w:right="311"/>
              <w:jc w:val="right"/>
              <w:rPr>
                <w:sz w:val="20"/>
              </w:rPr>
            </w:pPr>
            <w:r>
              <w:rPr>
                <w:sz w:val="20"/>
              </w:rPr>
              <w:t>USFS</w:t>
            </w:r>
          </w:p>
        </w:tc>
        <w:tc>
          <w:tcPr>
            <w:tcW w:w="900" w:type="dxa"/>
          </w:tcPr>
          <w:p>
            <w:pPr>
              <w:pStyle w:val="TableParagraph"/>
              <w:spacing w:line="227" w:lineRule="exact"/>
              <w:ind w:left="111" w:right="109"/>
              <w:jc w:val="center"/>
              <w:rPr>
                <w:sz w:val="20"/>
              </w:rPr>
            </w:pPr>
            <w:r>
              <w:rPr>
                <w:sz w:val="20"/>
              </w:rPr>
              <w:t>48.392</w:t>
            </w:r>
          </w:p>
        </w:tc>
        <w:tc>
          <w:tcPr>
            <w:tcW w:w="989" w:type="dxa"/>
          </w:tcPr>
          <w:p>
            <w:pPr>
              <w:pStyle w:val="TableParagraph"/>
              <w:spacing w:line="230" w:lineRule="exact"/>
              <w:ind w:left="129" w:firstLine="328"/>
              <w:rPr>
                <w:sz w:val="20"/>
              </w:rPr>
            </w:pPr>
            <w:r>
              <w:rPr>
                <w:sz w:val="20"/>
              </w:rPr>
              <w:t>- </w:t>
            </w:r>
            <w:r>
              <w:rPr>
                <w:w w:val="95"/>
                <w:sz w:val="20"/>
              </w:rPr>
              <w:t>121.818</w:t>
            </w:r>
          </w:p>
        </w:tc>
        <w:tc>
          <w:tcPr>
            <w:tcW w:w="828" w:type="dxa"/>
          </w:tcPr>
          <w:p>
            <w:pPr>
              <w:pStyle w:val="TableParagraph"/>
              <w:spacing w:line="227" w:lineRule="exact"/>
              <w:ind w:right="182"/>
              <w:jc w:val="right"/>
              <w:rPr>
                <w:sz w:val="20"/>
              </w:rPr>
            </w:pPr>
            <w:r>
              <w:rPr>
                <w:w w:val="95"/>
                <w:sz w:val="20"/>
              </w:rPr>
              <w:t>2160</w:t>
            </w:r>
          </w:p>
        </w:tc>
      </w:tr>
      <w:tr>
        <w:trPr>
          <w:trHeight w:val="460" w:hRule="atLeast"/>
        </w:trPr>
        <w:tc>
          <w:tcPr>
            <w:tcW w:w="883" w:type="dxa"/>
          </w:tcPr>
          <w:p>
            <w:pPr>
              <w:pStyle w:val="TableParagraph"/>
              <w:rPr>
                <w:rFonts w:ascii="Times New Roman"/>
                <w:sz w:val="18"/>
              </w:rPr>
            </w:pPr>
          </w:p>
        </w:tc>
        <w:tc>
          <w:tcPr>
            <w:tcW w:w="1836" w:type="dxa"/>
          </w:tcPr>
          <w:p>
            <w:pPr>
              <w:pStyle w:val="TableParagraph"/>
              <w:spacing w:line="227" w:lineRule="exact"/>
              <w:ind w:left="107"/>
              <w:rPr>
                <w:sz w:val="20"/>
              </w:rPr>
            </w:pPr>
            <w:r>
              <w:rPr>
                <w:sz w:val="20"/>
              </w:rPr>
              <w:t>Gold Hill</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451613</w:t>
            </w:r>
          </w:p>
        </w:tc>
        <w:tc>
          <w:tcPr>
            <w:tcW w:w="1171" w:type="dxa"/>
          </w:tcPr>
          <w:p>
            <w:pPr>
              <w:pStyle w:val="TableParagraph"/>
              <w:spacing w:line="227" w:lineRule="exact"/>
              <w:ind w:right="311"/>
              <w:jc w:val="right"/>
              <w:rPr>
                <w:sz w:val="20"/>
              </w:rPr>
            </w:pPr>
            <w:r>
              <w:rPr>
                <w:sz w:val="20"/>
              </w:rPr>
              <w:t>USFS</w:t>
            </w:r>
          </w:p>
        </w:tc>
        <w:tc>
          <w:tcPr>
            <w:tcW w:w="900" w:type="dxa"/>
          </w:tcPr>
          <w:p>
            <w:pPr>
              <w:pStyle w:val="TableParagraph"/>
              <w:spacing w:line="227" w:lineRule="exact"/>
              <w:ind w:left="111" w:right="109"/>
              <w:jc w:val="center"/>
              <w:rPr>
                <w:sz w:val="20"/>
              </w:rPr>
            </w:pPr>
            <w:r>
              <w:rPr>
                <w:sz w:val="20"/>
              </w:rPr>
              <w:t>48.243</w:t>
            </w:r>
          </w:p>
        </w:tc>
        <w:tc>
          <w:tcPr>
            <w:tcW w:w="989" w:type="dxa"/>
          </w:tcPr>
          <w:p>
            <w:pPr>
              <w:pStyle w:val="TableParagraph"/>
              <w:spacing w:line="230" w:lineRule="exact"/>
              <w:ind w:left="129" w:firstLine="328"/>
              <w:rPr>
                <w:sz w:val="20"/>
              </w:rPr>
            </w:pPr>
            <w:r>
              <w:rPr>
                <w:sz w:val="20"/>
              </w:rPr>
              <w:t>- </w:t>
            </w:r>
            <w:r>
              <w:rPr>
                <w:w w:val="95"/>
                <w:sz w:val="20"/>
              </w:rPr>
              <w:t>121.546</w:t>
            </w:r>
          </w:p>
        </w:tc>
        <w:tc>
          <w:tcPr>
            <w:tcW w:w="828" w:type="dxa"/>
          </w:tcPr>
          <w:p>
            <w:pPr>
              <w:pStyle w:val="TableParagraph"/>
              <w:spacing w:line="227" w:lineRule="exact"/>
              <w:ind w:right="182"/>
              <w:jc w:val="right"/>
              <w:rPr>
                <w:sz w:val="20"/>
              </w:rPr>
            </w:pPr>
            <w:r>
              <w:rPr>
                <w:w w:val="95"/>
                <w:sz w:val="20"/>
              </w:rPr>
              <w:t>3350</w:t>
            </w:r>
          </w:p>
        </w:tc>
      </w:tr>
      <w:tr>
        <w:trPr>
          <w:trHeight w:val="458" w:hRule="atLeast"/>
        </w:trPr>
        <w:tc>
          <w:tcPr>
            <w:tcW w:w="883" w:type="dxa"/>
          </w:tcPr>
          <w:p>
            <w:pPr>
              <w:pStyle w:val="TableParagraph"/>
              <w:rPr>
                <w:rFonts w:ascii="Times New Roman"/>
                <w:sz w:val="18"/>
              </w:rPr>
            </w:pPr>
          </w:p>
        </w:tc>
        <w:tc>
          <w:tcPr>
            <w:tcW w:w="1836" w:type="dxa"/>
          </w:tcPr>
          <w:p>
            <w:pPr>
              <w:pStyle w:val="TableParagraph"/>
              <w:spacing w:line="227" w:lineRule="exact"/>
              <w:ind w:left="107"/>
              <w:rPr>
                <w:sz w:val="20"/>
              </w:rPr>
            </w:pPr>
            <w:r>
              <w:rPr>
                <w:sz w:val="20"/>
              </w:rPr>
              <w:t>Johnson Ridge</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451611</w:t>
            </w:r>
          </w:p>
        </w:tc>
        <w:tc>
          <w:tcPr>
            <w:tcW w:w="1171" w:type="dxa"/>
          </w:tcPr>
          <w:p>
            <w:pPr>
              <w:pStyle w:val="TableParagraph"/>
              <w:spacing w:line="227" w:lineRule="exact"/>
              <w:ind w:right="311"/>
              <w:jc w:val="right"/>
              <w:rPr>
                <w:sz w:val="20"/>
              </w:rPr>
            </w:pPr>
            <w:r>
              <w:rPr>
                <w:sz w:val="20"/>
              </w:rPr>
              <w:t>USFS</w:t>
            </w:r>
          </w:p>
        </w:tc>
        <w:tc>
          <w:tcPr>
            <w:tcW w:w="900" w:type="dxa"/>
          </w:tcPr>
          <w:p>
            <w:pPr>
              <w:pStyle w:val="TableParagraph"/>
              <w:spacing w:line="227" w:lineRule="exact"/>
              <w:ind w:left="111" w:right="109"/>
              <w:jc w:val="center"/>
              <w:rPr>
                <w:sz w:val="20"/>
              </w:rPr>
            </w:pPr>
            <w:r>
              <w:rPr>
                <w:sz w:val="20"/>
              </w:rPr>
              <w:t>47.801</w:t>
            </w:r>
          </w:p>
        </w:tc>
        <w:tc>
          <w:tcPr>
            <w:tcW w:w="989" w:type="dxa"/>
          </w:tcPr>
          <w:p>
            <w:pPr>
              <w:pStyle w:val="TableParagraph"/>
              <w:spacing w:line="230" w:lineRule="exact"/>
              <w:ind w:left="129" w:firstLine="328"/>
              <w:rPr>
                <w:sz w:val="20"/>
              </w:rPr>
            </w:pPr>
            <w:r>
              <w:rPr>
                <w:sz w:val="20"/>
              </w:rPr>
              <w:t>- </w:t>
            </w:r>
            <w:r>
              <w:rPr>
                <w:w w:val="95"/>
                <w:sz w:val="20"/>
              </w:rPr>
              <w:t>121.286</w:t>
            </w:r>
          </w:p>
        </w:tc>
        <w:tc>
          <w:tcPr>
            <w:tcW w:w="828" w:type="dxa"/>
          </w:tcPr>
          <w:p>
            <w:pPr>
              <w:pStyle w:val="TableParagraph"/>
              <w:spacing w:line="227" w:lineRule="exact"/>
              <w:ind w:right="182"/>
              <w:jc w:val="right"/>
              <w:rPr>
                <w:sz w:val="20"/>
              </w:rPr>
            </w:pPr>
            <w:r>
              <w:rPr>
                <w:w w:val="95"/>
                <w:sz w:val="20"/>
              </w:rPr>
              <w:t>2048</w:t>
            </w:r>
          </w:p>
        </w:tc>
      </w:tr>
      <w:tr>
        <w:trPr>
          <w:trHeight w:val="458" w:hRule="atLeast"/>
        </w:trPr>
        <w:tc>
          <w:tcPr>
            <w:tcW w:w="883" w:type="dxa"/>
          </w:tcPr>
          <w:p>
            <w:pPr>
              <w:pStyle w:val="TableParagraph"/>
              <w:spacing w:line="225" w:lineRule="exact"/>
              <w:ind w:right="266"/>
              <w:jc w:val="right"/>
              <w:rPr>
                <w:b/>
                <w:sz w:val="20"/>
              </w:rPr>
            </w:pPr>
            <w:r>
              <w:rPr>
                <w:b/>
                <w:w w:val="95"/>
                <w:sz w:val="20"/>
              </w:rPr>
              <w:t>659</w:t>
            </w:r>
          </w:p>
        </w:tc>
        <w:tc>
          <w:tcPr>
            <w:tcW w:w="1836" w:type="dxa"/>
          </w:tcPr>
          <w:p>
            <w:pPr>
              <w:pStyle w:val="TableParagraph"/>
              <w:spacing w:line="228" w:lineRule="exact" w:before="2"/>
              <w:ind w:left="107" w:right="865"/>
              <w:rPr>
                <w:sz w:val="20"/>
              </w:rPr>
            </w:pPr>
            <w:r>
              <w:rPr>
                <w:sz w:val="20"/>
              </w:rPr>
              <w:t>Fire Trng Academy</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451721</w:t>
            </w:r>
          </w:p>
        </w:tc>
        <w:tc>
          <w:tcPr>
            <w:tcW w:w="1171" w:type="dxa"/>
          </w:tcPr>
          <w:p>
            <w:pPr>
              <w:pStyle w:val="TableParagraph"/>
              <w:spacing w:line="227" w:lineRule="exact"/>
              <w:ind w:right="311"/>
              <w:jc w:val="right"/>
              <w:rPr>
                <w:sz w:val="20"/>
              </w:rPr>
            </w:pPr>
            <w:r>
              <w:rPr>
                <w:sz w:val="20"/>
              </w:rPr>
              <w:t>USFS</w:t>
            </w:r>
          </w:p>
        </w:tc>
        <w:tc>
          <w:tcPr>
            <w:tcW w:w="900" w:type="dxa"/>
          </w:tcPr>
          <w:p>
            <w:pPr>
              <w:pStyle w:val="TableParagraph"/>
              <w:spacing w:line="227" w:lineRule="exact"/>
              <w:ind w:left="111" w:right="109"/>
              <w:jc w:val="center"/>
              <w:rPr>
                <w:sz w:val="20"/>
              </w:rPr>
            </w:pPr>
            <w:r>
              <w:rPr>
                <w:sz w:val="20"/>
              </w:rPr>
              <w:t>47.457</w:t>
            </w:r>
          </w:p>
        </w:tc>
        <w:tc>
          <w:tcPr>
            <w:tcW w:w="989" w:type="dxa"/>
          </w:tcPr>
          <w:p>
            <w:pPr>
              <w:pStyle w:val="TableParagraph"/>
              <w:spacing w:line="228" w:lineRule="exact" w:before="2"/>
              <w:ind w:left="129" w:firstLine="328"/>
              <w:rPr>
                <w:sz w:val="20"/>
              </w:rPr>
            </w:pPr>
            <w:r>
              <w:rPr>
                <w:sz w:val="20"/>
              </w:rPr>
              <w:t>- </w:t>
            </w:r>
            <w:r>
              <w:rPr>
                <w:w w:val="95"/>
                <w:sz w:val="20"/>
              </w:rPr>
              <w:t>121.665</w:t>
            </w:r>
          </w:p>
        </w:tc>
        <w:tc>
          <w:tcPr>
            <w:tcW w:w="828" w:type="dxa"/>
          </w:tcPr>
          <w:p>
            <w:pPr>
              <w:pStyle w:val="TableParagraph"/>
              <w:spacing w:line="227" w:lineRule="exact"/>
              <w:ind w:right="182"/>
              <w:jc w:val="right"/>
              <w:rPr>
                <w:sz w:val="20"/>
              </w:rPr>
            </w:pPr>
            <w:r>
              <w:rPr>
                <w:w w:val="95"/>
                <w:sz w:val="20"/>
              </w:rPr>
              <w:t>1580</w:t>
            </w:r>
          </w:p>
        </w:tc>
      </w:tr>
      <w:tr>
        <w:trPr>
          <w:trHeight w:val="460" w:hRule="atLeast"/>
        </w:trPr>
        <w:tc>
          <w:tcPr>
            <w:tcW w:w="883" w:type="dxa"/>
          </w:tcPr>
          <w:p>
            <w:pPr>
              <w:pStyle w:val="TableParagraph"/>
              <w:rPr>
                <w:rFonts w:ascii="Times New Roman"/>
                <w:sz w:val="18"/>
              </w:rPr>
            </w:pPr>
          </w:p>
        </w:tc>
        <w:tc>
          <w:tcPr>
            <w:tcW w:w="1836" w:type="dxa"/>
          </w:tcPr>
          <w:p>
            <w:pPr>
              <w:pStyle w:val="TableParagraph"/>
              <w:spacing w:line="227" w:lineRule="exact"/>
              <w:ind w:left="107"/>
              <w:rPr>
                <w:sz w:val="20"/>
              </w:rPr>
            </w:pPr>
            <w:r>
              <w:rPr>
                <w:sz w:val="20"/>
              </w:rPr>
              <w:t>Stampede Pass</w:t>
            </w:r>
          </w:p>
        </w:tc>
        <w:tc>
          <w:tcPr>
            <w:tcW w:w="900" w:type="dxa"/>
          </w:tcPr>
          <w:p>
            <w:pPr>
              <w:pStyle w:val="TableParagraph"/>
              <w:spacing w:line="227" w:lineRule="exact"/>
              <w:ind w:left="110" w:right="109"/>
              <w:jc w:val="center"/>
              <w:rPr>
                <w:sz w:val="20"/>
              </w:rPr>
            </w:pPr>
            <w:r>
              <w:rPr>
                <w:sz w:val="20"/>
              </w:rPr>
              <w:t>Metar</w:t>
            </w:r>
          </w:p>
        </w:tc>
        <w:tc>
          <w:tcPr>
            <w:tcW w:w="1349" w:type="dxa"/>
          </w:tcPr>
          <w:p>
            <w:pPr>
              <w:pStyle w:val="TableParagraph"/>
              <w:spacing w:line="227" w:lineRule="exact"/>
              <w:ind w:right="334"/>
              <w:jc w:val="right"/>
              <w:rPr>
                <w:sz w:val="20"/>
              </w:rPr>
            </w:pPr>
            <w:r>
              <w:rPr>
                <w:sz w:val="20"/>
              </w:rPr>
              <w:t>451711</w:t>
            </w:r>
          </w:p>
        </w:tc>
        <w:tc>
          <w:tcPr>
            <w:tcW w:w="1171" w:type="dxa"/>
          </w:tcPr>
          <w:p>
            <w:pPr>
              <w:pStyle w:val="TableParagraph"/>
              <w:spacing w:line="227" w:lineRule="exact"/>
              <w:ind w:right="359"/>
              <w:jc w:val="right"/>
              <w:rPr>
                <w:sz w:val="20"/>
              </w:rPr>
            </w:pPr>
            <w:r>
              <w:rPr>
                <w:w w:val="95"/>
                <w:sz w:val="20"/>
              </w:rPr>
              <w:t>DNR</w:t>
            </w:r>
          </w:p>
        </w:tc>
        <w:tc>
          <w:tcPr>
            <w:tcW w:w="900" w:type="dxa"/>
          </w:tcPr>
          <w:p>
            <w:pPr>
              <w:pStyle w:val="TableParagraph"/>
              <w:spacing w:line="227" w:lineRule="exact"/>
              <w:ind w:left="111" w:right="109"/>
              <w:jc w:val="center"/>
              <w:rPr>
                <w:sz w:val="20"/>
              </w:rPr>
            </w:pPr>
            <w:r>
              <w:rPr>
                <w:sz w:val="20"/>
              </w:rPr>
              <w:t>47.277</w:t>
            </w:r>
          </w:p>
        </w:tc>
        <w:tc>
          <w:tcPr>
            <w:tcW w:w="989" w:type="dxa"/>
          </w:tcPr>
          <w:p>
            <w:pPr>
              <w:pStyle w:val="TableParagraph"/>
              <w:spacing w:line="230" w:lineRule="exact"/>
              <w:ind w:left="129" w:firstLine="328"/>
              <w:rPr>
                <w:sz w:val="20"/>
              </w:rPr>
            </w:pPr>
            <w:r>
              <w:rPr>
                <w:sz w:val="20"/>
              </w:rPr>
              <w:t>- </w:t>
            </w:r>
            <w:r>
              <w:rPr>
                <w:w w:val="95"/>
                <w:sz w:val="20"/>
              </w:rPr>
              <w:t>121.337</w:t>
            </w:r>
          </w:p>
        </w:tc>
        <w:tc>
          <w:tcPr>
            <w:tcW w:w="828" w:type="dxa"/>
          </w:tcPr>
          <w:p>
            <w:pPr>
              <w:pStyle w:val="TableParagraph"/>
              <w:spacing w:line="227" w:lineRule="exact"/>
              <w:ind w:right="182"/>
              <w:jc w:val="right"/>
              <w:rPr>
                <w:sz w:val="20"/>
              </w:rPr>
            </w:pPr>
            <w:r>
              <w:rPr>
                <w:w w:val="95"/>
                <w:sz w:val="20"/>
              </w:rPr>
              <w:t>3960</w:t>
            </w:r>
          </w:p>
        </w:tc>
      </w:tr>
      <w:tr>
        <w:trPr>
          <w:trHeight w:val="460" w:hRule="atLeast"/>
        </w:trPr>
        <w:tc>
          <w:tcPr>
            <w:tcW w:w="883" w:type="dxa"/>
          </w:tcPr>
          <w:p>
            <w:pPr>
              <w:pStyle w:val="TableParagraph"/>
              <w:rPr>
                <w:rFonts w:ascii="Times New Roman"/>
                <w:sz w:val="18"/>
              </w:rPr>
            </w:pPr>
          </w:p>
        </w:tc>
        <w:tc>
          <w:tcPr>
            <w:tcW w:w="1836" w:type="dxa"/>
          </w:tcPr>
          <w:p>
            <w:pPr>
              <w:pStyle w:val="TableParagraph"/>
              <w:spacing w:line="227" w:lineRule="exact"/>
              <w:ind w:left="107"/>
              <w:rPr>
                <w:sz w:val="20"/>
              </w:rPr>
            </w:pPr>
            <w:r>
              <w:rPr>
                <w:sz w:val="20"/>
              </w:rPr>
              <w:t>Lester</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451705</w:t>
            </w:r>
          </w:p>
        </w:tc>
        <w:tc>
          <w:tcPr>
            <w:tcW w:w="1171" w:type="dxa"/>
          </w:tcPr>
          <w:p>
            <w:pPr>
              <w:pStyle w:val="TableParagraph"/>
              <w:spacing w:line="227" w:lineRule="exact"/>
              <w:ind w:right="311"/>
              <w:jc w:val="right"/>
              <w:rPr>
                <w:sz w:val="20"/>
              </w:rPr>
            </w:pPr>
            <w:r>
              <w:rPr>
                <w:sz w:val="20"/>
              </w:rPr>
              <w:t>USFS</w:t>
            </w:r>
          </w:p>
        </w:tc>
        <w:tc>
          <w:tcPr>
            <w:tcW w:w="900" w:type="dxa"/>
          </w:tcPr>
          <w:p>
            <w:pPr>
              <w:pStyle w:val="TableParagraph"/>
              <w:spacing w:line="227" w:lineRule="exact"/>
              <w:ind w:left="111" w:right="109"/>
              <w:jc w:val="center"/>
              <w:rPr>
                <w:sz w:val="20"/>
              </w:rPr>
            </w:pPr>
            <w:r>
              <w:rPr>
                <w:sz w:val="20"/>
              </w:rPr>
              <w:t>47.210</w:t>
            </w:r>
          </w:p>
        </w:tc>
        <w:tc>
          <w:tcPr>
            <w:tcW w:w="989" w:type="dxa"/>
          </w:tcPr>
          <w:p>
            <w:pPr>
              <w:pStyle w:val="TableParagraph"/>
              <w:spacing w:line="230" w:lineRule="exact"/>
              <w:ind w:left="129" w:firstLine="328"/>
              <w:rPr>
                <w:sz w:val="20"/>
              </w:rPr>
            </w:pPr>
            <w:r>
              <w:rPr>
                <w:sz w:val="20"/>
              </w:rPr>
              <w:t>- </w:t>
            </w:r>
            <w:r>
              <w:rPr>
                <w:w w:val="95"/>
                <w:sz w:val="20"/>
              </w:rPr>
              <w:t>121.489</w:t>
            </w:r>
          </w:p>
        </w:tc>
        <w:tc>
          <w:tcPr>
            <w:tcW w:w="828" w:type="dxa"/>
          </w:tcPr>
          <w:p>
            <w:pPr>
              <w:pStyle w:val="TableParagraph"/>
              <w:spacing w:line="227" w:lineRule="exact"/>
              <w:ind w:right="182"/>
              <w:jc w:val="right"/>
              <w:rPr>
                <w:sz w:val="20"/>
              </w:rPr>
            </w:pPr>
            <w:r>
              <w:rPr>
                <w:w w:val="95"/>
                <w:sz w:val="20"/>
              </w:rPr>
              <w:t>1637</w:t>
            </w:r>
          </w:p>
        </w:tc>
      </w:tr>
      <w:tr>
        <w:trPr>
          <w:trHeight w:val="460" w:hRule="atLeast"/>
        </w:trPr>
        <w:tc>
          <w:tcPr>
            <w:tcW w:w="883" w:type="dxa"/>
          </w:tcPr>
          <w:p>
            <w:pPr>
              <w:pStyle w:val="TableParagraph"/>
              <w:rPr>
                <w:rFonts w:ascii="Times New Roman"/>
                <w:sz w:val="18"/>
              </w:rPr>
            </w:pPr>
          </w:p>
        </w:tc>
        <w:tc>
          <w:tcPr>
            <w:tcW w:w="1836" w:type="dxa"/>
          </w:tcPr>
          <w:p>
            <w:pPr>
              <w:pStyle w:val="TableParagraph"/>
              <w:spacing w:line="227" w:lineRule="exact"/>
              <w:ind w:left="107"/>
              <w:rPr>
                <w:sz w:val="20"/>
              </w:rPr>
            </w:pPr>
            <w:r>
              <w:rPr>
                <w:sz w:val="20"/>
              </w:rPr>
              <w:t>Greenwater</w:t>
            </w:r>
          </w:p>
        </w:tc>
        <w:tc>
          <w:tcPr>
            <w:tcW w:w="900" w:type="dxa"/>
          </w:tcPr>
          <w:p>
            <w:pPr>
              <w:pStyle w:val="TableParagraph"/>
              <w:spacing w:line="227" w:lineRule="exact"/>
              <w:ind w:left="113" w:right="107"/>
              <w:jc w:val="center"/>
              <w:rPr>
                <w:sz w:val="20"/>
              </w:rPr>
            </w:pPr>
            <w:r>
              <w:rPr>
                <w:sz w:val="20"/>
              </w:rPr>
              <w:t>RAWS</w:t>
            </w:r>
          </w:p>
        </w:tc>
        <w:tc>
          <w:tcPr>
            <w:tcW w:w="1349" w:type="dxa"/>
          </w:tcPr>
          <w:p>
            <w:pPr>
              <w:pStyle w:val="TableParagraph"/>
              <w:spacing w:line="227" w:lineRule="exact"/>
              <w:ind w:right="334"/>
              <w:jc w:val="right"/>
              <w:rPr>
                <w:sz w:val="20"/>
              </w:rPr>
            </w:pPr>
            <w:r>
              <w:rPr>
                <w:sz w:val="20"/>
              </w:rPr>
              <w:t>451718</w:t>
            </w:r>
          </w:p>
        </w:tc>
        <w:tc>
          <w:tcPr>
            <w:tcW w:w="1171" w:type="dxa"/>
          </w:tcPr>
          <w:p>
            <w:pPr>
              <w:pStyle w:val="TableParagraph"/>
              <w:spacing w:line="227" w:lineRule="exact"/>
              <w:ind w:right="359"/>
              <w:jc w:val="right"/>
              <w:rPr>
                <w:sz w:val="20"/>
              </w:rPr>
            </w:pPr>
            <w:r>
              <w:rPr>
                <w:w w:val="95"/>
                <w:sz w:val="20"/>
              </w:rPr>
              <w:t>DNR</w:t>
            </w:r>
          </w:p>
        </w:tc>
        <w:tc>
          <w:tcPr>
            <w:tcW w:w="900" w:type="dxa"/>
          </w:tcPr>
          <w:p>
            <w:pPr>
              <w:pStyle w:val="TableParagraph"/>
              <w:spacing w:line="227" w:lineRule="exact"/>
              <w:ind w:left="111" w:right="109"/>
              <w:jc w:val="center"/>
              <w:rPr>
                <w:sz w:val="20"/>
              </w:rPr>
            </w:pPr>
            <w:r>
              <w:rPr>
                <w:sz w:val="20"/>
              </w:rPr>
              <w:t>47.116</w:t>
            </w:r>
          </w:p>
        </w:tc>
        <w:tc>
          <w:tcPr>
            <w:tcW w:w="989" w:type="dxa"/>
          </w:tcPr>
          <w:p>
            <w:pPr>
              <w:pStyle w:val="TableParagraph"/>
              <w:spacing w:line="230" w:lineRule="exact"/>
              <w:ind w:left="129" w:firstLine="328"/>
              <w:rPr>
                <w:sz w:val="20"/>
              </w:rPr>
            </w:pPr>
            <w:r>
              <w:rPr>
                <w:sz w:val="20"/>
              </w:rPr>
              <w:t>- </w:t>
            </w:r>
            <w:r>
              <w:rPr>
                <w:w w:val="95"/>
                <w:sz w:val="20"/>
              </w:rPr>
              <w:t>121.596</w:t>
            </w:r>
          </w:p>
        </w:tc>
        <w:tc>
          <w:tcPr>
            <w:tcW w:w="828" w:type="dxa"/>
          </w:tcPr>
          <w:p>
            <w:pPr>
              <w:pStyle w:val="TableParagraph"/>
              <w:spacing w:line="227" w:lineRule="exact"/>
              <w:ind w:right="182"/>
              <w:jc w:val="right"/>
              <w:rPr>
                <w:sz w:val="20"/>
              </w:rPr>
            </w:pPr>
            <w:r>
              <w:rPr>
                <w:w w:val="95"/>
                <w:sz w:val="20"/>
              </w:rPr>
              <w:t>2405</w:t>
            </w:r>
          </w:p>
        </w:tc>
      </w:tr>
      <w:tr>
        <w:trPr>
          <w:trHeight w:val="230" w:hRule="atLeast"/>
        </w:trPr>
        <w:tc>
          <w:tcPr>
            <w:tcW w:w="883" w:type="dxa"/>
          </w:tcPr>
          <w:p>
            <w:pPr>
              <w:pStyle w:val="TableParagraph"/>
              <w:rPr>
                <w:rFonts w:ascii="Times New Roman"/>
                <w:sz w:val="16"/>
              </w:rPr>
            </w:pPr>
          </w:p>
        </w:tc>
        <w:tc>
          <w:tcPr>
            <w:tcW w:w="1836" w:type="dxa"/>
          </w:tcPr>
          <w:p>
            <w:pPr>
              <w:pStyle w:val="TableParagraph"/>
              <w:spacing w:line="210" w:lineRule="exact"/>
              <w:ind w:left="107"/>
              <w:rPr>
                <w:sz w:val="20"/>
              </w:rPr>
            </w:pPr>
            <w:r>
              <w:rPr>
                <w:sz w:val="20"/>
              </w:rPr>
              <w:t>Ohanapecosh</w:t>
            </w:r>
          </w:p>
        </w:tc>
        <w:tc>
          <w:tcPr>
            <w:tcW w:w="900" w:type="dxa"/>
          </w:tcPr>
          <w:p>
            <w:pPr>
              <w:pStyle w:val="TableParagraph"/>
              <w:spacing w:line="210" w:lineRule="exact"/>
              <w:ind w:left="113" w:right="107"/>
              <w:jc w:val="center"/>
              <w:rPr>
                <w:sz w:val="20"/>
              </w:rPr>
            </w:pPr>
            <w:r>
              <w:rPr>
                <w:sz w:val="20"/>
              </w:rPr>
              <w:t>RAWS</w:t>
            </w:r>
          </w:p>
        </w:tc>
        <w:tc>
          <w:tcPr>
            <w:tcW w:w="1349" w:type="dxa"/>
          </w:tcPr>
          <w:p>
            <w:pPr>
              <w:pStyle w:val="TableParagraph"/>
              <w:spacing w:line="210" w:lineRule="exact"/>
              <w:ind w:right="334"/>
              <w:jc w:val="right"/>
              <w:rPr>
                <w:sz w:val="20"/>
              </w:rPr>
            </w:pPr>
            <w:r>
              <w:rPr>
                <w:sz w:val="20"/>
              </w:rPr>
              <w:t>451119</w:t>
            </w:r>
          </w:p>
        </w:tc>
        <w:tc>
          <w:tcPr>
            <w:tcW w:w="1171" w:type="dxa"/>
          </w:tcPr>
          <w:p>
            <w:pPr>
              <w:pStyle w:val="TableParagraph"/>
              <w:spacing w:line="210" w:lineRule="exact"/>
              <w:ind w:right="371"/>
              <w:jc w:val="right"/>
              <w:rPr>
                <w:sz w:val="20"/>
              </w:rPr>
            </w:pPr>
            <w:r>
              <w:rPr>
                <w:w w:val="95"/>
                <w:sz w:val="20"/>
              </w:rPr>
              <w:t>NPS</w:t>
            </w:r>
          </w:p>
        </w:tc>
        <w:tc>
          <w:tcPr>
            <w:tcW w:w="900" w:type="dxa"/>
          </w:tcPr>
          <w:p>
            <w:pPr>
              <w:pStyle w:val="TableParagraph"/>
              <w:spacing w:line="210" w:lineRule="exact"/>
              <w:ind w:left="111" w:right="109"/>
              <w:jc w:val="center"/>
              <w:rPr>
                <w:sz w:val="20"/>
              </w:rPr>
            </w:pPr>
            <w:r>
              <w:rPr>
                <w:sz w:val="20"/>
              </w:rPr>
              <w:t>46.731</w:t>
            </w:r>
          </w:p>
        </w:tc>
        <w:tc>
          <w:tcPr>
            <w:tcW w:w="989" w:type="dxa"/>
          </w:tcPr>
          <w:p>
            <w:pPr>
              <w:pStyle w:val="TableParagraph"/>
              <w:spacing w:line="210" w:lineRule="exact"/>
              <w:ind w:left="4"/>
              <w:jc w:val="center"/>
              <w:rPr>
                <w:sz w:val="20"/>
              </w:rPr>
            </w:pPr>
            <w:r>
              <w:rPr>
                <w:w w:val="99"/>
                <w:sz w:val="20"/>
              </w:rPr>
              <w:t>-</w:t>
            </w:r>
          </w:p>
        </w:tc>
        <w:tc>
          <w:tcPr>
            <w:tcW w:w="828" w:type="dxa"/>
          </w:tcPr>
          <w:p>
            <w:pPr>
              <w:pStyle w:val="TableParagraph"/>
              <w:spacing w:line="210" w:lineRule="exact"/>
              <w:ind w:right="182"/>
              <w:jc w:val="right"/>
              <w:rPr>
                <w:sz w:val="20"/>
              </w:rPr>
            </w:pPr>
            <w:r>
              <w:rPr>
                <w:w w:val="95"/>
                <w:sz w:val="20"/>
              </w:rPr>
              <w:t>1950</w:t>
            </w:r>
          </w:p>
        </w:tc>
      </w:tr>
    </w:tbl>
    <w:p>
      <w:pPr>
        <w:spacing w:after="0" w:line="210" w:lineRule="exact"/>
        <w:jc w:val="right"/>
        <w:rPr>
          <w:sz w:val="20"/>
        </w:rPr>
        <w:sectPr>
          <w:pgSz w:w="12240" w:h="15840"/>
          <w:pgMar w:header="0" w:footer="968" w:top="1360" w:bottom="1160" w:left="340" w:right="620"/>
        </w:sectPr>
      </w:pPr>
    </w:p>
    <w:tbl>
      <w:tblPr>
        <w:tblW w:w="0" w:type="auto"/>
        <w:jc w:val="left"/>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1836"/>
        <w:gridCol w:w="900"/>
        <w:gridCol w:w="1349"/>
        <w:gridCol w:w="1171"/>
        <w:gridCol w:w="900"/>
        <w:gridCol w:w="989"/>
        <w:gridCol w:w="828"/>
      </w:tblGrid>
      <w:tr>
        <w:trPr>
          <w:trHeight w:val="229" w:hRule="atLeast"/>
        </w:trPr>
        <w:tc>
          <w:tcPr>
            <w:tcW w:w="883" w:type="dxa"/>
          </w:tcPr>
          <w:p>
            <w:pPr>
              <w:pStyle w:val="TableParagraph"/>
              <w:rPr>
                <w:rFonts w:ascii="Times New Roman"/>
                <w:sz w:val="16"/>
              </w:rPr>
            </w:pPr>
          </w:p>
        </w:tc>
        <w:tc>
          <w:tcPr>
            <w:tcW w:w="1836" w:type="dxa"/>
          </w:tcPr>
          <w:p>
            <w:pPr>
              <w:pStyle w:val="TableParagraph"/>
              <w:rPr>
                <w:rFonts w:ascii="Times New Roman"/>
                <w:sz w:val="16"/>
              </w:rPr>
            </w:pPr>
          </w:p>
        </w:tc>
        <w:tc>
          <w:tcPr>
            <w:tcW w:w="900" w:type="dxa"/>
          </w:tcPr>
          <w:p>
            <w:pPr>
              <w:pStyle w:val="TableParagraph"/>
              <w:rPr>
                <w:rFonts w:ascii="Times New Roman"/>
                <w:sz w:val="16"/>
              </w:rPr>
            </w:pPr>
          </w:p>
        </w:tc>
        <w:tc>
          <w:tcPr>
            <w:tcW w:w="1349" w:type="dxa"/>
          </w:tcPr>
          <w:p>
            <w:pPr>
              <w:pStyle w:val="TableParagraph"/>
              <w:rPr>
                <w:rFonts w:ascii="Times New Roman"/>
                <w:sz w:val="16"/>
              </w:rPr>
            </w:pPr>
          </w:p>
        </w:tc>
        <w:tc>
          <w:tcPr>
            <w:tcW w:w="1171" w:type="dxa"/>
          </w:tcPr>
          <w:p>
            <w:pPr>
              <w:pStyle w:val="TableParagraph"/>
              <w:rPr>
                <w:rFonts w:ascii="Times New Roman"/>
                <w:sz w:val="16"/>
              </w:rPr>
            </w:pPr>
          </w:p>
        </w:tc>
        <w:tc>
          <w:tcPr>
            <w:tcW w:w="900" w:type="dxa"/>
          </w:tcPr>
          <w:p>
            <w:pPr>
              <w:pStyle w:val="TableParagraph"/>
              <w:rPr>
                <w:rFonts w:ascii="Times New Roman"/>
                <w:sz w:val="16"/>
              </w:rPr>
            </w:pPr>
          </w:p>
        </w:tc>
        <w:tc>
          <w:tcPr>
            <w:tcW w:w="989" w:type="dxa"/>
          </w:tcPr>
          <w:p>
            <w:pPr>
              <w:pStyle w:val="TableParagraph"/>
              <w:spacing w:line="210" w:lineRule="exact"/>
              <w:ind w:left="129"/>
              <w:rPr>
                <w:sz w:val="20"/>
              </w:rPr>
            </w:pPr>
            <w:r>
              <w:rPr>
                <w:sz w:val="20"/>
              </w:rPr>
              <w:t>121.571</w:t>
            </w:r>
          </w:p>
        </w:tc>
        <w:tc>
          <w:tcPr>
            <w:tcW w:w="828" w:type="dxa"/>
          </w:tcPr>
          <w:p>
            <w:pPr>
              <w:pStyle w:val="TableParagraph"/>
              <w:rPr>
                <w:rFonts w:ascii="Times New Roman"/>
                <w:sz w:val="16"/>
              </w:rPr>
            </w:pPr>
          </w:p>
        </w:tc>
      </w:tr>
      <w:tr>
        <w:trPr>
          <w:trHeight w:val="457" w:hRule="atLeast"/>
        </w:trPr>
        <w:tc>
          <w:tcPr>
            <w:tcW w:w="883" w:type="dxa"/>
          </w:tcPr>
          <w:p>
            <w:pPr>
              <w:pStyle w:val="TableParagraph"/>
              <w:rPr>
                <w:rFonts w:ascii="Times New Roman"/>
                <w:sz w:val="22"/>
              </w:rPr>
            </w:pPr>
          </w:p>
        </w:tc>
        <w:tc>
          <w:tcPr>
            <w:tcW w:w="1836" w:type="dxa"/>
          </w:tcPr>
          <w:p>
            <w:pPr>
              <w:pStyle w:val="TableParagraph"/>
              <w:spacing w:line="227" w:lineRule="exact"/>
              <w:ind w:left="107"/>
              <w:rPr>
                <w:sz w:val="20"/>
              </w:rPr>
            </w:pPr>
            <w:r>
              <w:rPr>
                <w:sz w:val="20"/>
              </w:rPr>
              <w:t>Kosmos</w:t>
            </w:r>
          </w:p>
        </w:tc>
        <w:tc>
          <w:tcPr>
            <w:tcW w:w="900" w:type="dxa"/>
          </w:tcPr>
          <w:p>
            <w:pPr>
              <w:pStyle w:val="TableParagraph"/>
              <w:spacing w:line="227" w:lineRule="exact"/>
              <w:ind w:right="138"/>
              <w:jc w:val="right"/>
              <w:rPr>
                <w:sz w:val="20"/>
              </w:rPr>
            </w:pPr>
            <w:r>
              <w:rPr>
                <w:sz w:val="20"/>
              </w:rPr>
              <w:t>RAWS</w:t>
            </w:r>
          </w:p>
        </w:tc>
        <w:tc>
          <w:tcPr>
            <w:tcW w:w="1349" w:type="dxa"/>
          </w:tcPr>
          <w:p>
            <w:pPr>
              <w:pStyle w:val="TableParagraph"/>
              <w:spacing w:line="227" w:lineRule="exact"/>
              <w:ind w:right="334"/>
              <w:jc w:val="right"/>
              <w:rPr>
                <w:sz w:val="20"/>
              </w:rPr>
            </w:pPr>
            <w:r>
              <w:rPr>
                <w:sz w:val="20"/>
              </w:rPr>
              <w:t>451105</w:t>
            </w:r>
          </w:p>
        </w:tc>
        <w:tc>
          <w:tcPr>
            <w:tcW w:w="1171" w:type="dxa"/>
          </w:tcPr>
          <w:p>
            <w:pPr>
              <w:pStyle w:val="TableParagraph"/>
              <w:spacing w:line="227" w:lineRule="exact"/>
              <w:ind w:right="359"/>
              <w:jc w:val="right"/>
              <w:rPr>
                <w:sz w:val="20"/>
              </w:rPr>
            </w:pPr>
            <w:r>
              <w:rPr>
                <w:w w:val="95"/>
                <w:sz w:val="20"/>
              </w:rPr>
              <w:t>DNR</w:t>
            </w:r>
          </w:p>
        </w:tc>
        <w:tc>
          <w:tcPr>
            <w:tcW w:w="900" w:type="dxa"/>
          </w:tcPr>
          <w:p>
            <w:pPr>
              <w:pStyle w:val="TableParagraph"/>
              <w:spacing w:line="227" w:lineRule="exact"/>
              <w:ind w:left="111" w:right="109"/>
              <w:jc w:val="center"/>
              <w:rPr>
                <w:sz w:val="20"/>
              </w:rPr>
            </w:pPr>
            <w:r>
              <w:rPr>
                <w:sz w:val="20"/>
              </w:rPr>
              <w:t>46.524</w:t>
            </w:r>
          </w:p>
        </w:tc>
        <w:tc>
          <w:tcPr>
            <w:tcW w:w="989" w:type="dxa"/>
          </w:tcPr>
          <w:p>
            <w:pPr>
              <w:pStyle w:val="TableParagraph"/>
              <w:spacing w:line="230" w:lineRule="exact"/>
              <w:ind w:left="129" w:firstLine="328"/>
              <w:rPr>
                <w:sz w:val="20"/>
              </w:rPr>
            </w:pPr>
            <w:r>
              <w:rPr>
                <w:sz w:val="20"/>
              </w:rPr>
              <w:t>- </w:t>
            </w:r>
            <w:r>
              <w:rPr>
                <w:w w:val="95"/>
                <w:sz w:val="20"/>
              </w:rPr>
              <w:t>122.190</w:t>
            </w:r>
          </w:p>
        </w:tc>
        <w:tc>
          <w:tcPr>
            <w:tcW w:w="828" w:type="dxa"/>
          </w:tcPr>
          <w:p>
            <w:pPr>
              <w:pStyle w:val="TableParagraph"/>
              <w:spacing w:line="227" w:lineRule="exact"/>
              <w:ind w:left="191"/>
              <w:rPr>
                <w:sz w:val="20"/>
              </w:rPr>
            </w:pPr>
            <w:r>
              <w:rPr>
                <w:sz w:val="20"/>
              </w:rPr>
              <w:t>2100</w:t>
            </w:r>
          </w:p>
        </w:tc>
      </w:tr>
      <w:tr>
        <w:trPr>
          <w:trHeight w:val="458" w:hRule="atLeast"/>
        </w:trPr>
        <w:tc>
          <w:tcPr>
            <w:tcW w:w="883" w:type="dxa"/>
          </w:tcPr>
          <w:p>
            <w:pPr>
              <w:pStyle w:val="TableParagraph"/>
              <w:rPr>
                <w:rFonts w:ascii="Times New Roman"/>
                <w:sz w:val="22"/>
              </w:rPr>
            </w:pPr>
          </w:p>
        </w:tc>
        <w:tc>
          <w:tcPr>
            <w:tcW w:w="1836" w:type="dxa"/>
          </w:tcPr>
          <w:p>
            <w:pPr>
              <w:pStyle w:val="TableParagraph"/>
              <w:spacing w:line="227" w:lineRule="exact"/>
              <w:ind w:left="107"/>
              <w:rPr>
                <w:sz w:val="20"/>
              </w:rPr>
            </w:pPr>
            <w:r>
              <w:rPr>
                <w:sz w:val="20"/>
              </w:rPr>
              <w:t>Hager Creek</w:t>
            </w:r>
          </w:p>
        </w:tc>
        <w:tc>
          <w:tcPr>
            <w:tcW w:w="900" w:type="dxa"/>
          </w:tcPr>
          <w:p>
            <w:pPr>
              <w:pStyle w:val="TableParagraph"/>
              <w:spacing w:line="227" w:lineRule="exact"/>
              <w:ind w:right="138"/>
              <w:jc w:val="right"/>
              <w:rPr>
                <w:sz w:val="20"/>
              </w:rPr>
            </w:pPr>
            <w:r>
              <w:rPr>
                <w:sz w:val="20"/>
              </w:rPr>
              <w:t>RAWS</w:t>
            </w:r>
          </w:p>
        </w:tc>
        <w:tc>
          <w:tcPr>
            <w:tcW w:w="1349" w:type="dxa"/>
          </w:tcPr>
          <w:p>
            <w:pPr>
              <w:pStyle w:val="TableParagraph"/>
              <w:spacing w:line="227" w:lineRule="exact"/>
              <w:ind w:right="334"/>
              <w:jc w:val="right"/>
              <w:rPr>
                <w:sz w:val="20"/>
              </w:rPr>
            </w:pPr>
            <w:r>
              <w:rPr>
                <w:sz w:val="20"/>
              </w:rPr>
              <w:t>451115</w:t>
            </w:r>
          </w:p>
        </w:tc>
        <w:tc>
          <w:tcPr>
            <w:tcW w:w="1171" w:type="dxa"/>
          </w:tcPr>
          <w:p>
            <w:pPr>
              <w:pStyle w:val="TableParagraph"/>
              <w:spacing w:line="227" w:lineRule="exact"/>
              <w:ind w:right="311"/>
              <w:jc w:val="right"/>
              <w:rPr>
                <w:sz w:val="20"/>
              </w:rPr>
            </w:pPr>
            <w:r>
              <w:rPr>
                <w:sz w:val="20"/>
              </w:rPr>
              <w:t>USFS</w:t>
            </w:r>
          </w:p>
        </w:tc>
        <w:tc>
          <w:tcPr>
            <w:tcW w:w="900" w:type="dxa"/>
          </w:tcPr>
          <w:p>
            <w:pPr>
              <w:pStyle w:val="TableParagraph"/>
              <w:spacing w:line="227" w:lineRule="exact"/>
              <w:ind w:left="111" w:right="109"/>
              <w:jc w:val="center"/>
              <w:rPr>
                <w:sz w:val="20"/>
              </w:rPr>
            </w:pPr>
            <w:r>
              <w:rPr>
                <w:sz w:val="20"/>
              </w:rPr>
              <w:t>46.564</w:t>
            </w:r>
          </w:p>
        </w:tc>
        <w:tc>
          <w:tcPr>
            <w:tcW w:w="989" w:type="dxa"/>
          </w:tcPr>
          <w:p>
            <w:pPr>
              <w:pStyle w:val="TableParagraph"/>
              <w:spacing w:line="228" w:lineRule="exact" w:before="2"/>
              <w:ind w:left="129" w:firstLine="328"/>
              <w:rPr>
                <w:sz w:val="20"/>
              </w:rPr>
            </w:pPr>
            <w:r>
              <w:rPr>
                <w:sz w:val="20"/>
              </w:rPr>
              <w:t>- </w:t>
            </w:r>
            <w:r>
              <w:rPr>
                <w:w w:val="95"/>
                <w:sz w:val="20"/>
              </w:rPr>
              <w:t>121.628</w:t>
            </w:r>
          </w:p>
        </w:tc>
        <w:tc>
          <w:tcPr>
            <w:tcW w:w="828" w:type="dxa"/>
          </w:tcPr>
          <w:p>
            <w:pPr>
              <w:pStyle w:val="TableParagraph"/>
              <w:spacing w:line="227" w:lineRule="exact"/>
              <w:ind w:left="191"/>
              <w:rPr>
                <w:sz w:val="20"/>
              </w:rPr>
            </w:pPr>
            <w:r>
              <w:rPr>
                <w:sz w:val="20"/>
              </w:rPr>
              <w:t>3600</w:t>
            </w:r>
          </w:p>
        </w:tc>
      </w:tr>
      <w:tr>
        <w:trPr>
          <w:trHeight w:val="460" w:hRule="atLeast"/>
        </w:trPr>
        <w:tc>
          <w:tcPr>
            <w:tcW w:w="883" w:type="dxa"/>
          </w:tcPr>
          <w:p>
            <w:pPr>
              <w:pStyle w:val="TableParagraph"/>
              <w:rPr>
                <w:rFonts w:ascii="Times New Roman"/>
                <w:sz w:val="22"/>
              </w:rPr>
            </w:pPr>
          </w:p>
        </w:tc>
        <w:tc>
          <w:tcPr>
            <w:tcW w:w="1836" w:type="dxa"/>
          </w:tcPr>
          <w:p>
            <w:pPr>
              <w:pStyle w:val="TableParagraph"/>
              <w:spacing w:line="227" w:lineRule="exact"/>
              <w:ind w:left="107"/>
              <w:rPr>
                <w:sz w:val="20"/>
              </w:rPr>
            </w:pPr>
            <w:r>
              <w:rPr>
                <w:sz w:val="20"/>
              </w:rPr>
              <w:t>Orr Creek</w:t>
            </w:r>
          </w:p>
        </w:tc>
        <w:tc>
          <w:tcPr>
            <w:tcW w:w="900" w:type="dxa"/>
          </w:tcPr>
          <w:p>
            <w:pPr>
              <w:pStyle w:val="TableParagraph"/>
              <w:spacing w:line="227" w:lineRule="exact"/>
              <w:ind w:right="138"/>
              <w:jc w:val="right"/>
              <w:rPr>
                <w:sz w:val="20"/>
              </w:rPr>
            </w:pPr>
            <w:r>
              <w:rPr>
                <w:sz w:val="20"/>
              </w:rPr>
              <w:t>RAWS</w:t>
            </w:r>
          </w:p>
        </w:tc>
        <w:tc>
          <w:tcPr>
            <w:tcW w:w="1349" w:type="dxa"/>
          </w:tcPr>
          <w:p>
            <w:pPr>
              <w:pStyle w:val="TableParagraph"/>
              <w:spacing w:line="227" w:lineRule="exact"/>
              <w:ind w:right="334"/>
              <w:jc w:val="right"/>
              <w:rPr>
                <w:sz w:val="20"/>
              </w:rPr>
            </w:pPr>
            <w:r>
              <w:rPr>
                <w:sz w:val="20"/>
              </w:rPr>
              <w:t>451919</w:t>
            </w:r>
          </w:p>
        </w:tc>
        <w:tc>
          <w:tcPr>
            <w:tcW w:w="1171" w:type="dxa"/>
          </w:tcPr>
          <w:p>
            <w:pPr>
              <w:pStyle w:val="TableParagraph"/>
              <w:spacing w:line="227" w:lineRule="exact"/>
              <w:ind w:right="311"/>
              <w:jc w:val="right"/>
              <w:rPr>
                <w:sz w:val="20"/>
              </w:rPr>
            </w:pPr>
            <w:r>
              <w:rPr>
                <w:sz w:val="20"/>
              </w:rPr>
              <w:t>USFS</w:t>
            </w:r>
          </w:p>
        </w:tc>
        <w:tc>
          <w:tcPr>
            <w:tcW w:w="900" w:type="dxa"/>
          </w:tcPr>
          <w:p>
            <w:pPr>
              <w:pStyle w:val="TableParagraph"/>
              <w:spacing w:line="227" w:lineRule="exact"/>
              <w:ind w:left="111" w:right="109"/>
              <w:jc w:val="center"/>
              <w:rPr>
                <w:sz w:val="20"/>
              </w:rPr>
            </w:pPr>
            <w:r>
              <w:rPr>
                <w:sz w:val="20"/>
              </w:rPr>
              <w:t>46.354</w:t>
            </w:r>
          </w:p>
        </w:tc>
        <w:tc>
          <w:tcPr>
            <w:tcW w:w="989" w:type="dxa"/>
          </w:tcPr>
          <w:p>
            <w:pPr>
              <w:pStyle w:val="TableParagraph"/>
              <w:spacing w:line="230" w:lineRule="exact"/>
              <w:ind w:left="129" w:firstLine="328"/>
              <w:rPr>
                <w:sz w:val="20"/>
              </w:rPr>
            </w:pPr>
            <w:r>
              <w:rPr>
                <w:sz w:val="20"/>
              </w:rPr>
              <w:t>- </w:t>
            </w:r>
            <w:r>
              <w:rPr>
                <w:w w:val="95"/>
                <w:sz w:val="20"/>
              </w:rPr>
              <w:t>121.604</w:t>
            </w:r>
          </w:p>
        </w:tc>
        <w:tc>
          <w:tcPr>
            <w:tcW w:w="828" w:type="dxa"/>
          </w:tcPr>
          <w:p>
            <w:pPr>
              <w:pStyle w:val="TableParagraph"/>
              <w:spacing w:line="227" w:lineRule="exact"/>
              <w:ind w:left="191"/>
              <w:rPr>
                <w:sz w:val="20"/>
              </w:rPr>
            </w:pPr>
            <w:r>
              <w:rPr>
                <w:sz w:val="20"/>
              </w:rPr>
              <w:t>3000</w:t>
            </w:r>
          </w:p>
        </w:tc>
      </w:tr>
      <w:tr>
        <w:trPr>
          <w:trHeight w:val="460" w:hRule="atLeast"/>
        </w:trPr>
        <w:tc>
          <w:tcPr>
            <w:tcW w:w="883" w:type="dxa"/>
          </w:tcPr>
          <w:p>
            <w:pPr>
              <w:pStyle w:val="TableParagraph"/>
              <w:spacing w:line="225" w:lineRule="exact"/>
              <w:ind w:left="273"/>
              <w:rPr>
                <w:b/>
                <w:sz w:val="20"/>
              </w:rPr>
            </w:pPr>
            <w:r>
              <w:rPr>
                <w:b/>
                <w:sz w:val="20"/>
              </w:rPr>
              <w:t>662</w:t>
            </w:r>
          </w:p>
        </w:tc>
        <w:tc>
          <w:tcPr>
            <w:tcW w:w="1836" w:type="dxa"/>
          </w:tcPr>
          <w:p>
            <w:pPr>
              <w:pStyle w:val="TableParagraph"/>
              <w:spacing w:line="227" w:lineRule="exact"/>
              <w:ind w:left="107"/>
              <w:rPr>
                <w:sz w:val="20"/>
              </w:rPr>
            </w:pPr>
            <w:r>
              <w:rPr>
                <w:sz w:val="20"/>
              </w:rPr>
              <w:t>Stehekin</w:t>
            </w:r>
          </w:p>
        </w:tc>
        <w:tc>
          <w:tcPr>
            <w:tcW w:w="900" w:type="dxa"/>
          </w:tcPr>
          <w:p>
            <w:pPr>
              <w:pStyle w:val="TableParagraph"/>
              <w:spacing w:line="227" w:lineRule="exact"/>
              <w:ind w:right="138"/>
              <w:jc w:val="right"/>
              <w:rPr>
                <w:sz w:val="20"/>
              </w:rPr>
            </w:pPr>
            <w:r>
              <w:rPr>
                <w:sz w:val="20"/>
              </w:rPr>
              <w:t>RAWS</w:t>
            </w:r>
          </w:p>
        </w:tc>
        <w:tc>
          <w:tcPr>
            <w:tcW w:w="1349" w:type="dxa"/>
          </w:tcPr>
          <w:p>
            <w:pPr>
              <w:pStyle w:val="TableParagraph"/>
              <w:spacing w:line="227" w:lineRule="exact"/>
              <w:ind w:right="334"/>
              <w:jc w:val="right"/>
              <w:rPr>
                <w:sz w:val="20"/>
              </w:rPr>
            </w:pPr>
            <w:r>
              <w:rPr>
                <w:sz w:val="20"/>
              </w:rPr>
              <w:t>452121</w:t>
            </w:r>
          </w:p>
        </w:tc>
        <w:tc>
          <w:tcPr>
            <w:tcW w:w="1171" w:type="dxa"/>
          </w:tcPr>
          <w:p>
            <w:pPr>
              <w:pStyle w:val="TableParagraph"/>
              <w:spacing w:line="227" w:lineRule="exact"/>
              <w:ind w:right="371"/>
              <w:jc w:val="right"/>
              <w:rPr>
                <w:sz w:val="20"/>
              </w:rPr>
            </w:pPr>
            <w:r>
              <w:rPr>
                <w:w w:val="95"/>
                <w:sz w:val="20"/>
              </w:rPr>
              <w:t>NPS</w:t>
            </w:r>
          </w:p>
        </w:tc>
        <w:tc>
          <w:tcPr>
            <w:tcW w:w="900" w:type="dxa"/>
          </w:tcPr>
          <w:p>
            <w:pPr>
              <w:pStyle w:val="TableParagraph"/>
              <w:spacing w:line="227" w:lineRule="exact"/>
              <w:ind w:left="111" w:right="109"/>
              <w:jc w:val="center"/>
              <w:rPr>
                <w:sz w:val="20"/>
              </w:rPr>
            </w:pPr>
            <w:r>
              <w:rPr>
                <w:sz w:val="20"/>
              </w:rPr>
              <w:t>48.347</w:t>
            </w:r>
          </w:p>
        </w:tc>
        <w:tc>
          <w:tcPr>
            <w:tcW w:w="989" w:type="dxa"/>
          </w:tcPr>
          <w:p>
            <w:pPr>
              <w:pStyle w:val="TableParagraph"/>
              <w:spacing w:line="230" w:lineRule="exact"/>
              <w:ind w:left="129" w:firstLine="328"/>
              <w:rPr>
                <w:sz w:val="20"/>
              </w:rPr>
            </w:pPr>
            <w:r>
              <w:rPr>
                <w:sz w:val="20"/>
              </w:rPr>
              <w:t>- </w:t>
            </w:r>
            <w:r>
              <w:rPr>
                <w:w w:val="95"/>
                <w:sz w:val="20"/>
              </w:rPr>
              <w:t>120.720</w:t>
            </w:r>
          </w:p>
        </w:tc>
        <w:tc>
          <w:tcPr>
            <w:tcW w:w="828" w:type="dxa"/>
          </w:tcPr>
          <w:p>
            <w:pPr>
              <w:pStyle w:val="TableParagraph"/>
              <w:spacing w:line="227" w:lineRule="exact"/>
              <w:ind w:left="191"/>
              <w:rPr>
                <w:sz w:val="20"/>
              </w:rPr>
            </w:pPr>
            <w:r>
              <w:rPr>
                <w:sz w:val="20"/>
              </w:rPr>
              <w:t>1230</w:t>
            </w:r>
          </w:p>
        </w:tc>
      </w:tr>
    </w:tbl>
    <w:p>
      <w:pPr>
        <w:pStyle w:val="BodyText"/>
        <w:rPr>
          <w:b/>
          <w:sz w:val="20"/>
        </w:rPr>
      </w:pPr>
    </w:p>
    <w:p>
      <w:pPr>
        <w:pStyle w:val="BodyText"/>
        <w:spacing w:before="8"/>
        <w:rPr>
          <w:b/>
          <w:sz w:val="23"/>
        </w:rPr>
      </w:pPr>
    </w:p>
    <w:p>
      <w:pPr>
        <w:spacing w:before="91"/>
        <w:ind w:left="340" w:right="0" w:firstLine="0"/>
        <w:jc w:val="center"/>
        <w:rPr>
          <w:b/>
          <w:sz w:val="28"/>
        </w:rPr>
      </w:pPr>
      <w:bookmarkStart w:name="_bookmark16" w:id="110"/>
      <w:bookmarkEnd w:id="110"/>
      <w:r>
        <w:rPr/>
      </w:r>
      <w:r>
        <w:rPr>
          <w:b/>
          <w:sz w:val="28"/>
        </w:rPr>
        <w:t>Appendix 3</w:t>
      </w:r>
    </w:p>
    <w:p>
      <w:pPr>
        <w:pStyle w:val="BodyText"/>
        <w:spacing w:before="2"/>
        <w:rPr>
          <w:b/>
          <w:sz w:val="28"/>
        </w:rPr>
      </w:pPr>
    </w:p>
    <w:p>
      <w:pPr>
        <w:spacing w:before="0"/>
        <w:ind w:left="1687" w:right="1345" w:firstLine="0"/>
        <w:jc w:val="center"/>
        <w:rPr>
          <w:b/>
          <w:sz w:val="28"/>
        </w:rPr>
      </w:pPr>
      <w:r>
        <w:rPr>
          <w:b/>
          <w:sz w:val="28"/>
        </w:rPr>
        <w:t>Methodology for Verification of a Red Flag Warning issued for Moderate Breeze and Low Humidity</w:t>
      </w:r>
    </w:p>
    <w:p>
      <w:pPr>
        <w:pStyle w:val="BodyText"/>
        <w:spacing w:before="9"/>
        <w:rPr>
          <w:b/>
          <w:sz w:val="27"/>
        </w:rPr>
      </w:pPr>
    </w:p>
    <w:p>
      <w:pPr>
        <w:pStyle w:val="BodyText"/>
        <w:spacing w:before="1"/>
        <w:ind w:left="1380" w:right="1759"/>
        <w:jc w:val="both"/>
      </w:pPr>
      <w:r>
        <w:rPr/>
        <w:t>For Wind and Low RH episodes, Red Flag events will be considered to have occurred when Red Flag criteria are achieved at the following combination of stations:</w:t>
      </w:r>
    </w:p>
    <w:p>
      <w:pPr>
        <w:pStyle w:val="BodyText"/>
        <w:spacing w:before="9"/>
        <w:rPr>
          <w:sz w:val="23"/>
        </w:rPr>
      </w:pPr>
    </w:p>
    <w:p>
      <w:pPr>
        <w:pStyle w:val="BodyText"/>
        <w:tabs>
          <w:tab w:pos="3540" w:val="left" w:leader="none"/>
        </w:tabs>
        <w:spacing w:line="242" w:lineRule="auto"/>
        <w:ind w:left="1380" w:right="1944" w:firstLine="720"/>
      </w:pPr>
      <w:r>
        <w:rPr/>
        <w:t>Zone</w:t>
      </w:r>
      <w:r>
        <w:rPr>
          <w:spacing w:val="-3"/>
        </w:rPr>
        <w:t> </w:t>
      </w:r>
      <w:r>
        <w:rPr/>
        <w:t>649:</w:t>
        <w:tab/>
        <w:t>Any </w:t>
      </w:r>
      <w:r>
        <w:rPr>
          <w:i/>
        </w:rPr>
        <w:t>two </w:t>
      </w:r>
      <w:r>
        <w:rPr/>
        <w:t>stations within the zone, usually Hoquiam and Quillayute</w:t>
      </w:r>
    </w:p>
    <w:p>
      <w:pPr>
        <w:pStyle w:val="BodyText"/>
        <w:tabs>
          <w:tab w:pos="3540" w:val="left" w:leader="none"/>
        </w:tabs>
        <w:spacing w:line="242" w:lineRule="auto"/>
        <w:ind w:left="2100" w:right="1663"/>
      </w:pPr>
      <w:r>
        <w:rPr/>
        <w:t>Zone</w:t>
      </w:r>
      <w:r>
        <w:rPr>
          <w:spacing w:val="-2"/>
        </w:rPr>
        <w:t> </w:t>
      </w:r>
      <w:r>
        <w:rPr/>
        <w:t>650:</w:t>
        <w:tab/>
        <w:t>Any </w:t>
      </w:r>
      <w:r>
        <w:rPr>
          <w:i/>
        </w:rPr>
        <w:t>single </w:t>
      </w:r>
      <w:r>
        <w:rPr/>
        <w:t>station within the zone – </w:t>
      </w:r>
      <w:r>
        <w:rPr>
          <w:b/>
        </w:rPr>
        <w:t>or - </w:t>
      </w:r>
      <w:r>
        <w:rPr/>
        <w:t>Quillayute ASOS Zone</w:t>
      </w:r>
      <w:r>
        <w:rPr>
          <w:spacing w:val="-2"/>
        </w:rPr>
        <w:t> </w:t>
      </w:r>
      <w:r>
        <w:rPr/>
        <w:t>651:</w:t>
        <w:tab/>
        <w:t>At Minot Peak RAWS </w:t>
      </w:r>
      <w:r>
        <w:rPr>
          <w:b/>
        </w:rPr>
        <w:t>– or – </w:t>
      </w:r>
      <w:r>
        <w:rPr/>
        <w:t>both Shelton and</w:t>
      </w:r>
      <w:r>
        <w:rPr>
          <w:spacing w:val="-19"/>
        </w:rPr>
        <w:t> </w:t>
      </w:r>
      <w:r>
        <w:rPr/>
        <w:t>Hoquiam</w:t>
      </w:r>
    </w:p>
    <w:p>
      <w:pPr>
        <w:pStyle w:val="BodyText"/>
        <w:spacing w:line="272" w:lineRule="exact"/>
        <w:ind w:left="1380"/>
      </w:pPr>
      <w:r>
        <w:rPr/>
        <w:t>ASOSs</w:t>
      </w:r>
    </w:p>
    <w:p>
      <w:pPr>
        <w:pStyle w:val="BodyText"/>
        <w:tabs>
          <w:tab w:pos="3540" w:val="left" w:leader="none"/>
        </w:tabs>
        <w:ind w:left="2100" w:right="1781"/>
      </w:pPr>
      <w:r>
        <w:rPr/>
        <w:t>Zone</w:t>
      </w:r>
      <w:r>
        <w:rPr>
          <w:spacing w:val="-3"/>
        </w:rPr>
        <w:t> </w:t>
      </w:r>
      <w:r>
        <w:rPr/>
        <w:t>652:</w:t>
        <w:tab/>
        <w:t>Any </w:t>
      </w:r>
      <w:r>
        <w:rPr>
          <w:i/>
        </w:rPr>
        <w:t>one </w:t>
      </w:r>
      <w:r>
        <w:rPr/>
        <w:t>station within the zone </w:t>
      </w:r>
      <w:r>
        <w:rPr>
          <w:i/>
        </w:rPr>
        <w:t>and </w:t>
      </w:r>
      <w:r>
        <w:rPr/>
        <w:t>the Ellis Mtn RAWS Zone</w:t>
      </w:r>
      <w:r>
        <w:rPr>
          <w:spacing w:val="-3"/>
        </w:rPr>
        <w:t> </w:t>
      </w:r>
      <w:r>
        <w:rPr/>
        <w:t>653:</w:t>
        <w:tab/>
        <w:t>Any </w:t>
      </w:r>
      <w:r>
        <w:rPr>
          <w:i/>
        </w:rPr>
        <w:t>two </w:t>
      </w:r>
      <w:r>
        <w:rPr/>
        <w:t>stations within the</w:t>
      </w:r>
      <w:r>
        <w:rPr>
          <w:spacing w:val="-1"/>
        </w:rPr>
        <w:t> </w:t>
      </w:r>
      <w:r>
        <w:rPr/>
        <w:t>zone</w:t>
      </w:r>
    </w:p>
    <w:p>
      <w:pPr>
        <w:pStyle w:val="BodyText"/>
        <w:tabs>
          <w:tab w:pos="3540" w:val="left" w:leader="none"/>
        </w:tabs>
        <w:ind w:left="2100" w:right="1051"/>
        <w:rPr>
          <w:b/>
        </w:rPr>
      </w:pPr>
      <w:r>
        <w:rPr/>
        <w:t>Zone</w:t>
      </w:r>
      <w:r>
        <w:rPr>
          <w:spacing w:val="-3"/>
        </w:rPr>
        <w:t> </w:t>
      </w:r>
      <w:r>
        <w:rPr/>
        <w:t>654:</w:t>
        <w:tab/>
        <w:t>Any </w:t>
      </w:r>
      <w:r>
        <w:rPr>
          <w:i/>
        </w:rPr>
        <w:t>two </w:t>
      </w:r>
      <w:r>
        <w:rPr/>
        <w:t>stations within the zone (including Olympia ASOS) Zone</w:t>
      </w:r>
      <w:r>
        <w:rPr>
          <w:spacing w:val="-2"/>
        </w:rPr>
        <w:t> </w:t>
      </w:r>
      <w:r>
        <w:rPr/>
        <w:t>655:</w:t>
        <w:tab/>
        <w:t>Any </w:t>
      </w:r>
      <w:r>
        <w:rPr>
          <w:i/>
        </w:rPr>
        <w:t>one </w:t>
      </w:r>
      <w:r>
        <w:rPr/>
        <w:t>station within the zone (including Olympia ASOS) </w:t>
      </w:r>
      <w:r>
        <w:rPr>
          <w:b/>
        </w:rPr>
        <w:t>–</w:t>
      </w:r>
      <w:r>
        <w:rPr>
          <w:b/>
          <w:spacing w:val="-26"/>
        </w:rPr>
        <w:t> </w:t>
      </w:r>
      <w:r>
        <w:rPr>
          <w:b/>
        </w:rPr>
        <w:t>or</w:t>
      </w:r>
    </w:p>
    <w:p>
      <w:pPr>
        <w:pStyle w:val="BodyText"/>
        <w:spacing w:line="242" w:lineRule="auto"/>
        <w:ind w:left="3540" w:right="1450"/>
      </w:pPr>
      <w:r>
        <w:rPr>
          <w:b/>
        </w:rPr>
        <w:t>– </w:t>
      </w:r>
      <w:r>
        <w:rPr/>
        <w:t>any </w:t>
      </w:r>
      <w:r>
        <w:rPr>
          <w:i/>
        </w:rPr>
        <w:t>two </w:t>
      </w:r>
      <w:r>
        <w:rPr/>
        <w:t>of the following sites: Shelton ASOS, Minot Peak RAWS and Hoquiam ASOS</w:t>
      </w:r>
    </w:p>
    <w:p>
      <w:pPr>
        <w:pStyle w:val="BodyText"/>
        <w:tabs>
          <w:tab w:pos="3540" w:val="left" w:leader="none"/>
        </w:tabs>
        <w:spacing w:line="242" w:lineRule="auto"/>
        <w:ind w:left="3540" w:right="1210" w:hanging="1440"/>
      </w:pPr>
      <w:r>
        <w:rPr/>
        <w:t>Zone</w:t>
      </w:r>
      <w:r>
        <w:rPr>
          <w:spacing w:val="-3"/>
        </w:rPr>
        <w:t> </w:t>
      </w:r>
      <w:r>
        <w:rPr/>
        <w:t>656:</w:t>
        <w:tab/>
        <w:t>Any </w:t>
      </w:r>
      <w:r>
        <w:rPr>
          <w:i/>
        </w:rPr>
        <w:t>two </w:t>
      </w:r>
      <w:r>
        <w:rPr/>
        <w:t>stations under 1500 feet within Skagit, Snohomish or Whatcom Counties (including Abbottsford,</w:t>
      </w:r>
      <w:r>
        <w:rPr>
          <w:spacing w:val="-5"/>
        </w:rPr>
        <w:t> </w:t>
      </w:r>
      <w:r>
        <w:rPr/>
        <w:t>BC)</w:t>
      </w:r>
    </w:p>
    <w:p>
      <w:pPr>
        <w:pStyle w:val="BodyText"/>
        <w:tabs>
          <w:tab w:pos="3540" w:val="left" w:leader="none"/>
        </w:tabs>
        <w:spacing w:line="242" w:lineRule="auto"/>
        <w:ind w:left="3540" w:right="1092" w:hanging="1440"/>
      </w:pPr>
      <w:r>
        <w:rPr/>
        <w:t>Zone</w:t>
      </w:r>
      <w:r>
        <w:rPr>
          <w:spacing w:val="-3"/>
        </w:rPr>
        <w:t> </w:t>
      </w:r>
      <w:r>
        <w:rPr/>
        <w:t>657:</w:t>
        <w:tab/>
        <w:t>Any </w:t>
      </w:r>
      <w:r>
        <w:rPr>
          <w:i/>
        </w:rPr>
        <w:t>two </w:t>
      </w:r>
      <w:r>
        <w:rPr/>
        <w:t>stations under 1500 feet within King or Pierce County, and east of Puget</w:t>
      </w:r>
      <w:r>
        <w:rPr>
          <w:spacing w:val="-5"/>
        </w:rPr>
        <w:t> </w:t>
      </w:r>
      <w:r>
        <w:rPr/>
        <w:t>Sound</w:t>
      </w:r>
    </w:p>
    <w:p>
      <w:pPr>
        <w:pStyle w:val="BodyText"/>
        <w:tabs>
          <w:tab w:pos="3540" w:val="left" w:leader="none"/>
        </w:tabs>
        <w:ind w:left="3540" w:right="1399" w:hanging="1440"/>
      </w:pPr>
      <w:r>
        <w:rPr/>
        <w:t>Zone</w:t>
      </w:r>
      <w:r>
        <w:rPr>
          <w:spacing w:val="-2"/>
        </w:rPr>
        <w:t> </w:t>
      </w:r>
      <w:r>
        <w:rPr/>
        <w:t>658:</w:t>
        <w:tab/>
        <w:t>Any NFDRS station within the zone </w:t>
      </w:r>
      <w:r>
        <w:rPr>
          <w:b/>
        </w:rPr>
        <w:t>– and – </w:t>
      </w:r>
      <w:r>
        <w:rPr>
          <w:i/>
        </w:rPr>
        <w:t>one </w:t>
      </w:r>
      <w:r>
        <w:rPr/>
        <w:t>of the following sites: Mt. Baker avalanche site, Marblemount, Fire Training Academy, or</w:t>
      </w:r>
      <w:r>
        <w:rPr>
          <w:spacing w:val="-4"/>
        </w:rPr>
        <w:t> </w:t>
      </w:r>
      <w:r>
        <w:rPr/>
        <w:t>SMP</w:t>
      </w:r>
    </w:p>
    <w:p>
      <w:pPr>
        <w:pStyle w:val="BodyText"/>
        <w:tabs>
          <w:tab w:pos="3540" w:val="left" w:leader="none"/>
        </w:tabs>
        <w:ind w:left="2100"/>
      </w:pPr>
      <w:r>
        <w:rPr/>
        <w:t>Zone</w:t>
      </w:r>
      <w:r>
        <w:rPr>
          <w:spacing w:val="-3"/>
        </w:rPr>
        <w:t> </w:t>
      </w:r>
      <w:r>
        <w:rPr/>
        <w:t>659:</w:t>
        <w:tab/>
        <w:t>Any two NFDRS stations within the zone</w:t>
      </w:r>
    </w:p>
    <w:p>
      <w:pPr>
        <w:pStyle w:val="BodyText"/>
        <w:tabs>
          <w:tab w:pos="3540" w:val="left" w:leader="none"/>
        </w:tabs>
        <w:ind w:left="2100"/>
      </w:pPr>
      <w:r>
        <w:rPr/>
        <w:t>Zone</w:t>
      </w:r>
      <w:r>
        <w:rPr>
          <w:spacing w:val="-3"/>
        </w:rPr>
        <w:t> </w:t>
      </w:r>
      <w:r>
        <w:rPr/>
        <w:t>661:</w:t>
        <w:tab/>
        <w:t>Any NFDRS station within the zone (</w:t>
      </w:r>
      <w:r>
        <w:rPr>
          <w:u w:val="single"/>
        </w:rPr>
        <w:t>not followed within</w:t>
      </w:r>
      <w:r>
        <w:rPr>
          <w:spacing w:val="-6"/>
          <w:u w:val="single"/>
        </w:rPr>
        <w:t> </w:t>
      </w:r>
      <w:r>
        <w:rPr>
          <w:u w:val="single"/>
        </w:rPr>
        <w:t>12</w:t>
      </w:r>
      <w:r>
        <w:rPr>
          <w:spacing w:val="-1"/>
          <w:u w:val="single"/>
        </w:rPr>
        <w:t> </w:t>
      </w:r>
    </w:p>
    <w:p>
      <w:pPr>
        <w:spacing w:after="0"/>
        <w:sectPr>
          <w:pgSz w:w="12240" w:h="15840"/>
          <w:pgMar w:header="0" w:footer="968" w:top="1360" w:bottom="1160" w:left="340" w:right="620"/>
        </w:sectPr>
      </w:pPr>
    </w:p>
    <w:p>
      <w:pPr>
        <w:pStyle w:val="BodyText"/>
        <w:spacing w:line="256" w:lineRule="exact"/>
        <w:jc w:val="right"/>
      </w:pPr>
      <w:r>
        <w:rPr>
          <w:u w:val="single"/>
        </w:rPr>
        <w:t>hours</w:t>
      </w:r>
    </w:p>
    <w:p>
      <w:pPr>
        <w:pStyle w:val="BodyText"/>
        <w:spacing w:before="2"/>
        <w:rPr>
          <w:sz w:val="22"/>
        </w:rPr>
      </w:pPr>
      <w:r>
        <w:rPr/>
        <w:br w:type="column"/>
      </w:r>
      <w:r>
        <w:rPr>
          <w:sz w:val="22"/>
        </w:rPr>
      </w:r>
    </w:p>
    <w:p>
      <w:pPr>
        <w:pStyle w:val="BodyText"/>
        <w:tabs>
          <w:tab w:pos="1517" w:val="left" w:leader="none"/>
        </w:tabs>
        <w:ind w:left="77" w:right="4710" w:firstLine="1440"/>
      </w:pPr>
      <w:r>
        <w:rPr>
          <w:u w:val="single"/>
        </w:rPr>
        <w:t>by the start of a wetting</w:t>
      </w:r>
      <w:r>
        <w:rPr>
          <w:spacing w:val="-13"/>
          <w:u w:val="single"/>
        </w:rPr>
        <w:t> </w:t>
      </w:r>
      <w:r>
        <w:rPr>
          <w:u w:val="single"/>
        </w:rPr>
        <w:t>rain</w:t>
      </w:r>
      <w:r>
        <w:rPr/>
        <w:t>) Zone</w:t>
      </w:r>
      <w:r>
        <w:rPr>
          <w:spacing w:val="-3"/>
        </w:rPr>
        <w:t> </w:t>
      </w:r>
      <w:r>
        <w:rPr/>
        <w:t>662:</w:t>
        <w:tab/>
        <w:t>At Stehekin</w:t>
      </w:r>
      <w:r>
        <w:rPr>
          <w:spacing w:val="0"/>
        </w:rPr>
        <w:t> </w:t>
      </w:r>
      <w:r>
        <w:rPr/>
        <w:t>RAWS</w:t>
      </w:r>
    </w:p>
    <w:p>
      <w:pPr>
        <w:spacing w:after="0"/>
        <w:sectPr>
          <w:type w:val="continuous"/>
          <w:pgSz w:w="12240" w:h="15840"/>
          <w:pgMar w:top="1040" w:bottom="280" w:left="340" w:right="620"/>
          <w:cols w:num="2" w:equalWidth="0">
            <w:col w:w="1984" w:space="40"/>
            <w:col w:w="9256"/>
          </w:cols>
        </w:sectPr>
      </w:pPr>
    </w:p>
    <w:p>
      <w:pPr>
        <w:pStyle w:val="Heading3"/>
        <w:ind w:left="3178" w:right="1027"/>
        <w:rPr>
          <w:u w:val="none"/>
        </w:rPr>
      </w:pPr>
      <w:r>
        <w:rPr/>
        <w:drawing>
          <wp:anchor distT="0" distB="0" distL="0" distR="0" allowOverlap="1" layoutInCell="1" locked="0" behindDoc="0" simplePos="0" relativeHeight="1768">
            <wp:simplePos x="0" y="0"/>
            <wp:positionH relativeFrom="page">
              <wp:posOffset>830578</wp:posOffset>
            </wp:positionH>
            <wp:positionV relativeFrom="paragraph">
              <wp:posOffset>37486</wp:posOffset>
            </wp:positionV>
            <wp:extent cx="1218564" cy="1218564"/>
            <wp:effectExtent l="0" t="0" r="0" b="0"/>
            <wp:wrapNone/>
            <wp:docPr id="37" name="image3.png" descr=""/>
            <wp:cNvGraphicFramePr>
              <a:graphicFrameLocks noChangeAspect="1"/>
            </wp:cNvGraphicFramePr>
            <a:graphic>
              <a:graphicData uri="http://schemas.openxmlformats.org/drawingml/2006/picture">
                <pic:pic>
                  <pic:nvPicPr>
                    <pic:cNvPr id="38" name="image3.png"/>
                    <pic:cNvPicPr/>
                  </pic:nvPicPr>
                  <pic:blipFill>
                    <a:blip r:embed="rId7" cstate="print"/>
                    <a:stretch>
                      <a:fillRect/>
                    </a:stretch>
                  </pic:blipFill>
                  <pic:spPr>
                    <a:xfrm>
                      <a:off x="0" y="0"/>
                      <a:ext cx="1218564" cy="1218564"/>
                    </a:xfrm>
                    <a:prstGeom prst="rect">
                      <a:avLst/>
                    </a:prstGeom>
                  </pic:spPr>
                </pic:pic>
              </a:graphicData>
            </a:graphic>
          </wp:anchor>
        </w:drawing>
      </w:r>
      <w:bookmarkStart w:name="NATIONAL WEATHER SERVICE SPOKANE" w:id="111"/>
      <w:bookmarkEnd w:id="111"/>
      <w:r>
        <w:rPr>
          <w:b w:val="0"/>
          <w:u w:val="none"/>
        </w:rPr>
      </w:r>
      <w:bookmarkStart w:name="_bookmark17" w:id="112"/>
      <w:bookmarkEnd w:id="112"/>
      <w:r>
        <w:rPr>
          <w:b w:val="0"/>
          <w:u w:val="none"/>
        </w:rPr>
      </w:r>
      <w:r>
        <w:rPr>
          <w:u w:val="thick"/>
        </w:rPr>
        <w:t>NATIONAL WEATHER</w:t>
      </w:r>
      <w:r>
        <w:rPr>
          <w:u w:val="none"/>
        </w:rPr>
        <w:t> </w:t>
      </w:r>
      <w:r>
        <w:rPr>
          <w:u w:val="thick"/>
        </w:rPr>
        <w:t>SERVICE SPOKANE</w:t>
      </w:r>
    </w:p>
    <w:p>
      <w:pPr>
        <w:pStyle w:val="BodyText"/>
        <w:rPr>
          <w:b/>
          <w:sz w:val="20"/>
        </w:rPr>
      </w:pPr>
    </w:p>
    <w:p>
      <w:pPr>
        <w:pStyle w:val="BodyText"/>
        <w:rPr>
          <w:b/>
          <w:sz w:val="20"/>
        </w:rPr>
      </w:pPr>
    </w:p>
    <w:p>
      <w:pPr>
        <w:pStyle w:val="BodyText"/>
        <w:rPr>
          <w:b/>
          <w:sz w:val="20"/>
        </w:rPr>
      </w:pPr>
    </w:p>
    <w:p>
      <w:pPr>
        <w:pStyle w:val="BodyText"/>
        <w:rPr>
          <w:b/>
          <w:sz w:val="20"/>
        </w:rPr>
      </w:pPr>
    </w:p>
    <w:p>
      <w:pPr>
        <w:pStyle w:val="Heading5"/>
        <w:spacing w:before="212"/>
        <w:ind w:left="1239"/>
        <w:rPr>
          <w:u w:val="none"/>
        </w:rPr>
      </w:pPr>
      <w:bookmarkStart w:name="WHAT’S NEW" w:id="113"/>
      <w:bookmarkEnd w:id="113"/>
      <w:r>
        <w:rPr>
          <w:b w:val="0"/>
          <w:u w:val="none"/>
        </w:rPr>
      </w:r>
      <w:r>
        <w:rPr>
          <w:u w:val="thick"/>
        </w:rPr>
        <w:t>WHAT’S NEW</w:t>
      </w:r>
    </w:p>
    <w:p>
      <w:pPr>
        <w:pStyle w:val="ListParagraph"/>
        <w:numPr>
          <w:ilvl w:val="0"/>
          <w:numId w:val="16"/>
        </w:numPr>
        <w:tabs>
          <w:tab w:pos="1720" w:val="left" w:leader="none"/>
        </w:tabs>
        <w:spacing w:line="240" w:lineRule="auto" w:before="1" w:after="0"/>
        <w:ind w:left="1719" w:right="2880" w:hanging="360"/>
        <w:jc w:val="left"/>
        <w:rPr>
          <w:sz w:val="22"/>
        </w:rPr>
      </w:pPr>
      <w:r>
        <w:rPr>
          <w:sz w:val="22"/>
        </w:rPr>
        <w:t>There will be a change to a revised Regional Fire Weather Webpage</w:t>
      </w:r>
      <w:hyperlink r:id="rId107">
        <w:r>
          <w:rPr>
            <w:color w:val="0000FF"/>
            <w:sz w:val="22"/>
            <w:u w:val="single" w:color="0000FF"/>
          </w:rPr>
          <w:t> https://WWW.WRH.NOAA.GOV/FIRE2</w:t>
        </w:r>
      </w:hyperlink>
      <w:r>
        <w:rPr>
          <w:color w:val="0000FF"/>
          <w:sz w:val="22"/>
        </w:rPr>
        <w:t> </w:t>
      </w:r>
      <w:r>
        <w:rPr>
          <w:spacing w:val="-3"/>
          <w:sz w:val="22"/>
        </w:rPr>
        <w:t>or</w:t>
      </w:r>
      <w:hyperlink r:id="rId108">
        <w:r>
          <w:rPr>
            <w:color w:val="0000FF"/>
            <w:spacing w:val="-3"/>
            <w:sz w:val="22"/>
            <w:u w:val="single" w:color="0000FF"/>
          </w:rPr>
          <w:t> </w:t>
        </w:r>
        <w:r>
          <w:rPr>
            <w:color w:val="0000FF"/>
            <w:sz w:val="22"/>
            <w:u w:val="single" w:color="0000FF"/>
          </w:rPr>
          <w:t>https://www.wrh.noaa.gov/fire2/main.php</w:t>
        </w:r>
      </w:hyperlink>
    </w:p>
    <w:p>
      <w:pPr>
        <w:pStyle w:val="BodyText"/>
        <w:spacing w:before="4"/>
        <w:rPr>
          <w:sz w:val="23"/>
        </w:rPr>
      </w:pPr>
    </w:p>
    <w:p>
      <w:pPr>
        <w:pStyle w:val="Heading5"/>
        <w:ind w:left="1239"/>
        <w:rPr>
          <w:u w:val="none"/>
        </w:rPr>
      </w:pPr>
      <w:bookmarkStart w:name="LOCATION" w:id="114"/>
      <w:bookmarkEnd w:id="114"/>
      <w:r>
        <w:rPr>
          <w:b w:val="0"/>
          <w:u w:val="none"/>
        </w:rPr>
      </w:r>
      <w:r>
        <w:rPr>
          <w:u w:val="thick"/>
        </w:rPr>
        <w:t>LOCATION</w:t>
      </w:r>
    </w:p>
    <w:p>
      <w:pPr>
        <w:pStyle w:val="BodyText"/>
        <w:spacing w:before="5"/>
        <w:ind w:left="1239" w:right="7099"/>
      </w:pPr>
      <w:r>
        <w:rPr/>
        <w:t>National Weather Service Office 2601 North Rambo Road Spokane, WA 99224- 9164</w:t>
      </w:r>
    </w:p>
    <w:p>
      <w:pPr>
        <w:pStyle w:val="BodyText"/>
        <w:spacing w:before="10"/>
        <w:rPr>
          <w:sz w:val="23"/>
        </w:rPr>
      </w:pPr>
    </w:p>
    <w:p>
      <w:pPr>
        <w:pStyle w:val="Heading5"/>
        <w:spacing w:before="1"/>
        <w:ind w:left="1239"/>
        <w:rPr>
          <w:u w:val="none"/>
        </w:rPr>
      </w:pPr>
      <w:bookmarkStart w:name="HOURS OF OPERATION" w:id="115"/>
      <w:bookmarkEnd w:id="115"/>
      <w:r>
        <w:rPr>
          <w:b w:val="0"/>
          <w:u w:val="none"/>
        </w:rPr>
      </w:r>
      <w:r>
        <w:rPr>
          <w:u w:val="thick"/>
        </w:rPr>
        <w:t>HOURS OF OPERATION</w:t>
      </w:r>
    </w:p>
    <w:p>
      <w:pPr>
        <w:pStyle w:val="BodyText"/>
        <w:spacing w:line="237" w:lineRule="auto" w:before="7"/>
        <w:ind w:left="1239" w:right="1391"/>
      </w:pPr>
      <w:r>
        <w:rPr/>
        <w:t>Office hours at NWSO Spokane for Fire Weather will be as follows: Daily 24 Hour forecast and briefing coverage</w:t>
      </w:r>
    </w:p>
    <w:p>
      <w:pPr>
        <w:pStyle w:val="BodyText"/>
      </w:pPr>
    </w:p>
    <w:p>
      <w:pPr>
        <w:pStyle w:val="BodyText"/>
        <w:ind w:left="1239"/>
      </w:pPr>
      <w:r>
        <w:rPr/>
        <w:t>The Fire Desk is staffed daily 0700-1700 Late March - Mid October</w:t>
      </w:r>
    </w:p>
    <w:p>
      <w:pPr>
        <w:pStyle w:val="BodyText"/>
      </w:pPr>
    </w:p>
    <w:p>
      <w:pPr>
        <w:pStyle w:val="Heading5"/>
        <w:ind w:left="1270"/>
        <w:rPr>
          <w:u w:val="none"/>
        </w:rPr>
      </w:pPr>
      <w:r>
        <w:rPr>
          <w:u w:val="thick"/>
        </w:rPr>
        <w:t>PHONE NUMBERS AND E-MAIL</w:t>
      </w:r>
    </w:p>
    <w:p>
      <w:pPr>
        <w:pStyle w:val="BodyText"/>
        <w:tabs>
          <w:tab w:pos="4599" w:val="left" w:leader="none"/>
        </w:tabs>
        <w:spacing w:before="254"/>
        <w:ind w:left="1270"/>
      </w:pPr>
      <w:r>
        <w:rPr/>
        <w:t>Fire</w:t>
      </w:r>
      <w:r>
        <w:rPr>
          <w:spacing w:val="-4"/>
        </w:rPr>
        <w:t> </w:t>
      </w:r>
      <w:r>
        <w:rPr/>
        <w:t>Weather</w:t>
        <w:tab/>
        <w:t>(509)</w:t>
      </w:r>
      <w:r>
        <w:rPr>
          <w:spacing w:val="-8"/>
        </w:rPr>
        <w:t> </w:t>
      </w:r>
      <w:r>
        <w:rPr/>
        <w:t>244-5031</w:t>
      </w:r>
    </w:p>
    <w:p>
      <w:pPr>
        <w:pStyle w:val="BodyText"/>
        <w:tabs>
          <w:tab w:pos="4599" w:val="left" w:leader="none"/>
        </w:tabs>
        <w:ind w:left="1270"/>
      </w:pPr>
      <w:r>
        <w:rPr/>
        <w:t>Public</w:t>
        <w:tab/>
        <w:t>(509)</w:t>
      </w:r>
      <w:r>
        <w:rPr>
          <w:spacing w:val="-8"/>
        </w:rPr>
        <w:t> </w:t>
      </w:r>
      <w:r>
        <w:rPr/>
        <w:t>244-6395</w:t>
      </w:r>
    </w:p>
    <w:p>
      <w:pPr>
        <w:pStyle w:val="BodyText"/>
        <w:tabs>
          <w:tab w:pos="4680" w:val="left" w:leader="none"/>
        </w:tabs>
        <w:ind w:left="1270"/>
      </w:pPr>
      <w:r>
        <w:rPr/>
        <w:t>FAX</w:t>
        <w:tab/>
        <w:t>(509)</w:t>
      </w:r>
      <w:r>
        <w:rPr>
          <w:spacing w:val="-4"/>
        </w:rPr>
        <w:t> </w:t>
      </w:r>
      <w:r>
        <w:rPr/>
        <w:t>244-0554</w:t>
      </w:r>
    </w:p>
    <w:p>
      <w:pPr>
        <w:pStyle w:val="BodyText"/>
        <w:ind w:left="1270" w:right="7251"/>
      </w:pPr>
      <w:hyperlink r:id="rId109">
        <w:r>
          <w:rPr>
            <w:color w:val="0000FF"/>
            <w:u w:val="single" w:color="0000FF"/>
          </w:rPr>
          <w:t>andrew.brown@noaa.gov</w:t>
        </w:r>
      </w:hyperlink>
      <w:r>
        <w:rPr>
          <w:color w:val="0000FF"/>
        </w:rPr>
        <w:t> </w:t>
      </w:r>
      <w:hyperlink r:id="rId110">
        <w:r>
          <w:rPr>
            <w:color w:val="0000FF"/>
            <w:u w:val="single" w:color="0000FF"/>
          </w:rPr>
          <w:t>ronald.miller@noaa.gov</w:t>
        </w:r>
      </w:hyperlink>
      <w:r>
        <w:rPr>
          <w:color w:val="0000FF"/>
        </w:rPr>
        <w:t> </w:t>
      </w:r>
      <w:hyperlink r:id="rId111">
        <w:r>
          <w:rPr>
            <w:color w:val="0000FF"/>
            <w:u w:val="single" w:color="0000FF"/>
          </w:rPr>
          <w:t>robert.tobin@noaa.gov</w:t>
        </w:r>
      </w:hyperlink>
    </w:p>
    <w:p>
      <w:pPr>
        <w:pStyle w:val="BodyText"/>
        <w:rPr>
          <w:sz w:val="20"/>
        </w:rPr>
      </w:pPr>
    </w:p>
    <w:p>
      <w:pPr>
        <w:pStyle w:val="BodyText"/>
        <w:spacing w:before="9"/>
        <w:rPr>
          <w:sz w:val="19"/>
        </w:rPr>
      </w:pPr>
    </w:p>
    <w:p>
      <w:pPr>
        <w:pStyle w:val="Heading5"/>
        <w:spacing w:before="89"/>
        <w:ind w:left="1239"/>
        <w:rPr>
          <w:u w:val="none"/>
        </w:rPr>
      </w:pPr>
      <w:bookmarkStart w:name="STAFF" w:id="116"/>
      <w:bookmarkEnd w:id="116"/>
      <w:r>
        <w:rPr>
          <w:b w:val="0"/>
          <w:u w:val="none"/>
        </w:rPr>
      </w:r>
      <w:r>
        <w:rPr>
          <w:u w:val="thick"/>
        </w:rPr>
        <w:t>STAFF </w:t>
      </w:r>
    </w:p>
    <w:p>
      <w:pPr>
        <w:pStyle w:val="BodyText"/>
        <w:tabs>
          <w:tab w:pos="4119" w:val="left" w:leader="none"/>
        </w:tabs>
        <w:spacing w:line="275" w:lineRule="exact" w:before="5"/>
        <w:ind w:left="1239"/>
      </w:pPr>
      <w:r>
        <w:rPr/>
        <w:t>Vacant</w:t>
        <w:tab/>
        <w:t>Meteorologist in</w:t>
      </w:r>
      <w:r>
        <w:rPr>
          <w:spacing w:val="-9"/>
        </w:rPr>
        <w:t> </w:t>
      </w:r>
      <w:r>
        <w:rPr/>
        <w:t>Charge</w:t>
      </w:r>
    </w:p>
    <w:p>
      <w:pPr>
        <w:pStyle w:val="BodyText"/>
        <w:tabs>
          <w:tab w:pos="4119" w:val="left" w:leader="none"/>
        </w:tabs>
        <w:spacing w:line="275" w:lineRule="exact"/>
        <w:ind w:left="1239"/>
      </w:pPr>
      <w:r>
        <w:rPr/>
        <w:t>Ron</w:t>
      </w:r>
      <w:r>
        <w:rPr>
          <w:spacing w:val="-1"/>
        </w:rPr>
        <w:t> </w:t>
      </w:r>
      <w:r>
        <w:rPr/>
        <w:t>Miller</w:t>
        <w:tab/>
        <w:t>Science and Operations</w:t>
      </w:r>
      <w:r>
        <w:rPr>
          <w:spacing w:val="-10"/>
        </w:rPr>
        <w:t> </w:t>
      </w:r>
      <w:r>
        <w:rPr/>
        <w:t>Officer</w:t>
      </w:r>
    </w:p>
    <w:p>
      <w:pPr>
        <w:pStyle w:val="BodyText"/>
        <w:tabs>
          <w:tab w:pos="4119" w:val="left" w:leader="none"/>
        </w:tabs>
        <w:ind w:left="1239"/>
      </w:pPr>
      <w:r>
        <w:rPr/>
        <w:t>Andy</w:t>
      </w:r>
      <w:r>
        <w:rPr>
          <w:spacing w:val="-9"/>
        </w:rPr>
        <w:t> </w:t>
      </w:r>
      <w:r>
        <w:rPr/>
        <w:t>Brown</w:t>
        <w:tab/>
        <w:t>Warning Coordination</w:t>
      </w:r>
      <w:r>
        <w:rPr>
          <w:spacing w:val="-16"/>
        </w:rPr>
        <w:t> </w:t>
      </w:r>
      <w:r>
        <w:rPr/>
        <w:t>Meteorologist</w:t>
      </w:r>
    </w:p>
    <w:p>
      <w:pPr>
        <w:pStyle w:val="BodyText"/>
        <w:tabs>
          <w:tab w:pos="4119" w:val="left" w:leader="none"/>
        </w:tabs>
        <w:ind w:left="1239"/>
      </w:pPr>
      <w:r>
        <w:rPr/>
        <w:t>Todd</w:t>
      </w:r>
      <w:r>
        <w:rPr>
          <w:spacing w:val="-3"/>
        </w:rPr>
        <w:t> </w:t>
      </w:r>
      <w:r>
        <w:rPr/>
        <w:t>Carter</w:t>
        <w:tab/>
        <w:t>ITO/IMET</w:t>
      </w:r>
    </w:p>
    <w:p>
      <w:pPr>
        <w:pStyle w:val="BodyText"/>
        <w:tabs>
          <w:tab w:pos="4119" w:val="left" w:leader="none"/>
        </w:tabs>
        <w:ind w:left="1239"/>
      </w:pPr>
      <w:r>
        <w:rPr/>
        <w:t>Jon</w:t>
      </w:r>
      <w:r>
        <w:rPr>
          <w:spacing w:val="-1"/>
        </w:rPr>
        <w:t> </w:t>
      </w:r>
      <w:r>
        <w:rPr/>
        <w:t>Fox</w:t>
        <w:tab/>
        <w:t>Senior</w:t>
      </w:r>
      <w:r>
        <w:rPr>
          <w:spacing w:val="-9"/>
        </w:rPr>
        <w:t> </w:t>
      </w:r>
      <w:r>
        <w:rPr/>
        <w:t>Forecaster/IMET</w:t>
      </w:r>
    </w:p>
    <w:p>
      <w:pPr>
        <w:pStyle w:val="BodyText"/>
        <w:tabs>
          <w:tab w:pos="4119" w:val="left" w:leader="none"/>
        </w:tabs>
        <w:ind w:left="1239"/>
      </w:pPr>
      <w:r>
        <w:rPr/>
        <w:t>Bob</w:t>
      </w:r>
      <w:r>
        <w:rPr>
          <w:spacing w:val="-5"/>
        </w:rPr>
        <w:t> </w:t>
      </w:r>
      <w:r>
        <w:rPr/>
        <w:t>Tobin</w:t>
        <w:tab/>
        <w:t>Fire Weather Program</w:t>
      </w:r>
      <w:r>
        <w:rPr>
          <w:spacing w:val="-23"/>
        </w:rPr>
        <w:t> </w:t>
      </w:r>
      <w:r>
        <w:rPr/>
        <w:t>Leader/IMET</w:t>
      </w:r>
    </w:p>
    <w:p>
      <w:pPr>
        <w:pStyle w:val="BodyText"/>
        <w:tabs>
          <w:tab w:pos="4119" w:val="left" w:leader="none"/>
        </w:tabs>
        <w:spacing w:line="275" w:lineRule="exact" w:before="3"/>
        <w:ind w:left="1239"/>
      </w:pPr>
      <w:r>
        <w:rPr/>
        <w:t>Matt</w:t>
      </w:r>
      <w:r>
        <w:rPr>
          <w:spacing w:val="-6"/>
        </w:rPr>
        <w:t> </w:t>
      </w:r>
      <w:r>
        <w:rPr/>
        <w:t>Fugazzi</w:t>
        <w:tab/>
        <w:t>Senior</w:t>
      </w:r>
      <w:r>
        <w:rPr>
          <w:spacing w:val="-11"/>
        </w:rPr>
        <w:t> </w:t>
      </w:r>
      <w:r>
        <w:rPr/>
        <w:t>Forecaster</w:t>
      </w:r>
    </w:p>
    <w:p>
      <w:pPr>
        <w:pStyle w:val="BodyText"/>
        <w:tabs>
          <w:tab w:pos="4119" w:val="left" w:leader="none"/>
        </w:tabs>
        <w:spacing w:line="275" w:lineRule="exact"/>
        <w:ind w:left="1239"/>
      </w:pPr>
      <w:r>
        <w:rPr/>
        <w:t>Greg</w:t>
      </w:r>
      <w:r>
        <w:rPr>
          <w:spacing w:val="-5"/>
        </w:rPr>
        <w:t> </w:t>
      </w:r>
      <w:r>
        <w:rPr/>
        <w:t>Koch</w:t>
        <w:tab/>
        <w:t>Senior</w:t>
      </w:r>
      <w:r>
        <w:rPr>
          <w:spacing w:val="-11"/>
        </w:rPr>
        <w:t> </w:t>
      </w:r>
      <w:r>
        <w:rPr/>
        <w:t>Forecaster</w:t>
      </w:r>
    </w:p>
    <w:p>
      <w:pPr>
        <w:pStyle w:val="BodyText"/>
        <w:tabs>
          <w:tab w:pos="4119" w:val="left" w:leader="none"/>
        </w:tabs>
        <w:ind w:left="1239"/>
      </w:pPr>
      <w:r>
        <w:rPr/>
        <w:t>Jeffrey</w:t>
      </w:r>
      <w:r>
        <w:rPr>
          <w:spacing w:val="-6"/>
        </w:rPr>
        <w:t> </w:t>
      </w:r>
      <w:r>
        <w:rPr/>
        <w:t>Cote</w:t>
        <w:tab/>
        <w:t>Forecaster</w:t>
      </w:r>
    </w:p>
    <w:p>
      <w:pPr>
        <w:pStyle w:val="BodyText"/>
        <w:tabs>
          <w:tab w:pos="4119" w:val="left" w:leader="none"/>
        </w:tabs>
        <w:ind w:left="1239"/>
      </w:pPr>
      <w:r>
        <w:rPr/>
        <w:t>Robin</w:t>
      </w:r>
      <w:r>
        <w:rPr>
          <w:spacing w:val="-1"/>
        </w:rPr>
        <w:t> </w:t>
      </w:r>
      <w:r>
        <w:rPr/>
        <w:t>Fox</w:t>
        <w:tab/>
        <w:t>Forecaster</w:t>
      </w:r>
    </w:p>
    <w:p>
      <w:pPr>
        <w:spacing w:after="0"/>
        <w:sectPr>
          <w:footerReference w:type="default" r:id="rId106"/>
          <w:pgSz w:w="12240" w:h="15840"/>
          <w:pgMar w:footer="968" w:header="0" w:top="1360" w:bottom="1160" w:left="340" w:right="620"/>
          <w:pgNumType w:start="74"/>
        </w:sectPr>
      </w:pPr>
    </w:p>
    <w:p>
      <w:pPr>
        <w:pStyle w:val="BodyText"/>
        <w:tabs>
          <w:tab w:pos="4119" w:val="left" w:leader="none"/>
        </w:tabs>
        <w:spacing w:before="76"/>
        <w:ind w:left="1239"/>
      </w:pPr>
      <w:r>
        <w:rPr/>
        <w:t>Laurie</w:t>
      </w:r>
      <w:r>
        <w:rPr>
          <w:spacing w:val="-4"/>
        </w:rPr>
        <w:t> </w:t>
      </w:r>
      <w:r>
        <w:rPr/>
        <w:t>Nisbet</w:t>
        <w:tab/>
        <w:t>Forecaster</w:t>
      </w:r>
    </w:p>
    <w:p>
      <w:pPr>
        <w:pStyle w:val="BodyText"/>
        <w:tabs>
          <w:tab w:pos="4119" w:val="left" w:leader="none"/>
        </w:tabs>
        <w:ind w:left="1239"/>
      </w:pPr>
      <w:r>
        <w:rPr/>
        <w:t>Rocco</w:t>
      </w:r>
      <w:r>
        <w:rPr>
          <w:spacing w:val="-1"/>
        </w:rPr>
        <w:t> </w:t>
      </w:r>
      <w:r>
        <w:rPr/>
        <w:t>Pelatti</w:t>
        <w:tab/>
        <w:t>Forecaster</w:t>
      </w:r>
    </w:p>
    <w:p>
      <w:pPr>
        <w:pStyle w:val="BodyText"/>
        <w:tabs>
          <w:tab w:pos="4119" w:val="left" w:leader="none"/>
        </w:tabs>
        <w:ind w:left="1239"/>
      </w:pPr>
      <w:r>
        <w:rPr/>
        <w:t>Jeremy</w:t>
      </w:r>
      <w:r>
        <w:rPr>
          <w:spacing w:val="-14"/>
        </w:rPr>
        <w:t> </w:t>
      </w:r>
      <w:r>
        <w:rPr/>
        <w:t>Wolf</w:t>
        <w:tab/>
        <w:t>Forecaster</w:t>
      </w:r>
    </w:p>
    <w:p>
      <w:pPr>
        <w:pStyle w:val="BodyText"/>
        <w:tabs>
          <w:tab w:pos="4119" w:val="left" w:leader="none"/>
        </w:tabs>
        <w:ind w:left="1239"/>
      </w:pPr>
      <w:r>
        <w:rPr/>
        <w:t>Steve</w:t>
      </w:r>
      <w:r>
        <w:rPr>
          <w:spacing w:val="-3"/>
        </w:rPr>
        <w:t> </w:t>
      </w:r>
      <w:r>
        <w:rPr/>
        <w:t>Bodnar</w:t>
        <w:tab/>
        <w:t>Forecaster</w:t>
      </w:r>
    </w:p>
    <w:p>
      <w:pPr>
        <w:pStyle w:val="BodyText"/>
        <w:tabs>
          <w:tab w:pos="4119" w:val="left" w:leader="none"/>
        </w:tabs>
        <w:ind w:left="1239"/>
      </w:pPr>
      <w:r>
        <w:rPr/>
        <w:t>Steven</w:t>
      </w:r>
      <w:r>
        <w:rPr>
          <w:spacing w:val="-3"/>
        </w:rPr>
        <w:t> </w:t>
      </w:r>
      <w:r>
        <w:rPr/>
        <w:t>Van</w:t>
      </w:r>
      <w:r>
        <w:rPr>
          <w:spacing w:val="-3"/>
        </w:rPr>
        <w:t> </w:t>
      </w:r>
      <w:r>
        <w:rPr/>
        <w:t>Horn</w:t>
        <w:tab/>
        <w:t>Forecaster</w:t>
      </w:r>
    </w:p>
    <w:p>
      <w:pPr>
        <w:pStyle w:val="BodyText"/>
        <w:spacing w:before="9"/>
        <w:rPr>
          <w:sz w:val="28"/>
        </w:rPr>
      </w:pPr>
    </w:p>
    <w:p>
      <w:pPr>
        <w:pStyle w:val="BodyText"/>
        <w:tabs>
          <w:tab w:pos="3979" w:val="left" w:leader="none"/>
        </w:tabs>
        <w:spacing w:before="1"/>
        <w:ind w:left="1100"/>
      </w:pPr>
      <w:r>
        <w:rPr/>
        <w:t>Joey</w:t>
      </w:r>
      <w:r>
        <w:rPr>
          <w:spacing w:val="-10"/>
        </w:rPr>
        <w:t> </w:t>
      </w:r>
      <w:r>
        <w:rPr/>
        <w:t>Clevenger</w:t>
        <w:tab/>
        <w:t>Forecaster</w:t>
      </w:r>
    </w:p>
    <w:p>
      <w:pPr>
        <w:pStyle w:val="BodyText"/>
        <w:tabs>
          <w:tab w:pos="3979" w:val="left" w:leader="none"/>
        </w:tabs>
        <w:ind w:left="1100"/>
      </w:pPr>
      <w:r>
        <w:rPr/>
        <w:t>Jennifer</w:t>
      </w:r>
      <w:r>
        <w:rPr>
          <w:spacing w:val="-4"/>
        </w:rPr>
        <w:t> </w:t>
      </w:r>
      <w:r>
        <w:rPr/>
        <w:t>Simmons</w:t>
        <w:tab/>
        <w:t>Forecaster</w:t>
      </w:r>
    </w:p>
    <w:p>
      <w:pPr>
        <w:pStyle w:val="BodyText"/>
        <w:tabs>
          <w:tab w:pos="3979" w:val="left" w:leader="none"/>
        </w:tabs>
        <w:ind w:left="1100"/>
      </w:pPr>
      <w:r>
        <w:rPr/>
        <w:t>Bryce</w:t>
      </w:r>
      <w:r>
        <w:rPr>
          <w:spacing w:val="-9"/>
        </w:rPr>
        <w:t> </w:t>
      </w:r>
      <w:r>
        <w:rPr/>
        <w:t>Williams</w:t>
        <w:tab/>
        <w:t>Forecaster</w:t>
      </w:r>
    </w:p>
    <w:p>
      <w:pPr>
        <w:pStyle w:val="BodyText"/>
        <w:rPr>
          <w:sz w:val="26"/>
        </w:rPr>
      </w:pPr>
    </w:p>
    <w:p>
      <w:pPr>
        <w:pStyle w:val="BodyText"/>
        <w:spacing w:before="8"/>
        <w:rPr>
          <w:sz w:val="21"/>
        </w:rPr>
      </w:pPr>
    </w:p>
    <w:p>
      <w:pPr>
        <w:pStyle w:val="Heading5"/>
        <w:rPr>
          <w:u w:val="none"/>
        </w:rPr>
      </w:pPr>
      <w:r>
        <w:rPr>
          <w:u w:val="thick"/>
        </w:rPr>
        <w:t>COMMUNCATIONS</w:t>
      </w:r>
    </w:p>
    <w:p>
      <w:pPr>
        <w:pStyle w:val="BodyText"/>
        <w:spacing w:before="11"/>
        <w:rPr>
          <w:b/>
        </w:rPr>
      </w:pPr>
    </w:p>
    <w:p>
      <w:pPr>
        <w:pStyle w:val="BodyText"/>
        <w:spacing w:line="237" w:lineRule="auto" w:before="94"/>
        <w:ind w:left="1100" w:right="875"/>
      </w:pPr>
      <w:r>
        <w:rPr/>
        <w:t>All forecasts are available on WIMS, and on Spokane’s Internet home page. Customers who do not have access to WIMS, or Internet can still have forecasts faxed to them.</w:t>
      </w:r>
    </w:p>
    <w:p>
      <w:pPr>
        <w:pStyle w:val="BodyText"/>
        <w:rPr>
          <w:sz w:val="26"/>
        </w:rPr>
      </w:pPr>
    </w:p>
    <w:p>
      <w:pPr>
        <w:pStyle w:val="BodyText"/>
        <w:spacing w:before="2"/>
        <w:rPr>
          <w:sz w:val="38"/>
        </w:rPr>
      </w:pPr>
    </w:p>
    <w:p>
      <w:pPr>
        <w:pStyle w:val="BodyText"/>
        <w:ind w:left="1100"/>
      </w:pPr>
      <w:r>
        <w:rPr/>
        <w:t>Internet</w:t>
      </w:r>
    </w:p>
    <w:p>
      <w:pPr>
        <w:pStyle w:val="BodyText"/>
        <w:ind w:left="1100" w:right="5804"/>
      </w:pPr>
      <w:r>
        <w:rPr/>
        <w:t>Address: </w:t>
      </w:r>
      <w:hyperlink r:id="rId112">
        <w:r>
          <w:rPr>
            <w:color w:val="0462C1"/>
            <w:u w:val="single" w:color="0462C1"/>
          </w:rPr>
          <w:t>http://www.wrh.noaa.gov/otx</w:t>
        </w:r>
      </w:hyperlink>
      <w:r>
        <w:rPr>
          <w:color w:val="0462C1"/>
        </w:rPr>
        <w:t> </w:t>
      </w:r>
      <w:hyperlink r:id="rId113">
        <w:r>
          <w:rPr>
            <w:color w:val="0462C1"/>
            <w:u w:val="single" w:color="0462C1"/>
          </w:rPr>
          <w:t>http://www.weather.gov/spokane</w:t>
        </w:r>
      </w:hyperlink>
      <w:r>
        <w:rPr>
          <w:color w:val="0462C1"/>
        </w:rPr>
        <w:t> </w:t>
      </w:r>
      <w:hyperlink r:id="rId114">
        <w:r>
          <w:rPr>
            <w:color w:val="0462C1"/>
            <w:u w:val="single" w:color="0462C1"/>
          </w:rPr>
          <w:t>http://www.wrh.noaa.gov/firewx/?wfo=otx</w:t>
        </w:r>
      </w:hyperlink>
    </w:p>
    <w:p>
      <w:pPr>
        <w:pStyle w:val="BodyText"/>
        <w:rPr>
          <w:sz w:val="20"/>
        </w:rPr>
      </w:pPr>
    </w:p>
    <w:p>
      <w:pPr>
        <w:pStyle w:val="BodyText"/>
        <w:spacing w:before="11"/>
        <w:rPr>
          <w:sz w:val="17"/>
        </w:rPr>
      </w:pPr>
    </w:p>
    <w:p>
      <w:pPr>
        <w:pStyle w:val="Heading5"/>
        <w:spacing w:before="89"/>
        <w:ind w:left="999"/>
        <w:rPr>
          <w:u w:val="none"/>
        </w:rPr>
      </w:pPr>
      <w:r>
        <w:rPr>
          <w:u w:val="thick"/>
        </w:rPr>
        <w:t>WEATHER BRIEFINGS</w:t>
      </w:r>
    </w:p>
    <w:p>
      <w:pPr>
        <w:pStyle w:val="BodyText"/>
        <w:spacing w:before="10"/>
        <w:rPr>
          <w:b/>
          <w:sz w:val="13"/>
        </w:rPr>
      </w:pPr>
    </w:p>
    <w:p>
      <w:pPr>
        <w:spacing w:before="94"/>
        <w:ind w:left="999" w:right="856" w:firstLine="0"/>
        <w:jc w:val="left"/>
        <w:rPr>
          <w:sz w:val="22"/>
        </w:rPr>
      </w:pPr>
      <w:r>
        <w:rPr>
          <w:sz w:val="22"/>
        </w:rPr>
        <w:t>Internet based weather briefings are available from the Spokane office as needed. During peak fire season, normally mid June-early October briefings will be daily at 0900 PDT. These briefings will be recorded and should be available on the Fire Weather Page by 1000 PDT. During Land Management season briefings are available by customer request and are usually held twice per week for planning purposes. The phone number is 877-783-9070. The passcode is available by calling our office. Phone briefings are available 24 hours per day by calling 509-244-5031.</w:t>
      </w:r>
    </w:p>
    <w:p>
      <w:pPr>
        <w:pStyle w:val="BodyText"/>
      </w:pPr>
    </w:p>
    <w:p>
      <w:pPr>
        <w:pStyle w:val="BodyText"/>
        <w:spacing w:before="11"/>
        <w:rPr>
          <w:sz w:val="19"/>
        </w:rPr>
      </w:pPr>
    </w:p>
    <w:p>
      <w:pPr>
        <w:pStyle w:val="Heading5"/>
        <w:ind w:left="999"/>
        <w:rPr>
          <w:u w:val="none"/>
        </w:rPr>
      </w:pPr>
      <w:r>
        <w:rPr>
          <w:u w:val="thick"/>
        </w:rPr>
        <w:t>SOCIAL MEDIA</w:t>
      </w:r>
    </w:p>
    <w:p>
      <w:pPr>
        <w:pStyle w:val="BodyText"/>
        <w:spacing w:before="10"/>
        <w:rPr>
          <w:b/>
          <w:sz w:val="13"/>
        </w:rPr>
      </w:pPr>
    </w:p>
    <w:p>
      <w:pPr>
        <w:spacing w:before="94"/>
        <w:ind w:left="999" w:right="734" w:firstLine="0"/>
        <w:jc w:val="left"/>
        <w:rPr>
          <w:sz w:val="22"/>
        </w:rPr>
      </w:pPr>
      <w:r>
        <w:rPr>
          <w:sz w:val="22"/>
        </w:rPr>
        <w:t>NWS Spokane has a Facebook page, Twitter account, and a YouTube channel. Information about current Fire Weather may be included in these social media feeds, but such information is intended as supplemental information for the general public; it is not intended to meet the specialized needs of the wildland firefighting community.</w:t>
      </w:r>
    </w:p>
    <w:p>
      <w:pPr>
        <w:spacing w:before="1"/>
        <w:ind w:left="1061" w:right="0" w:firstLine="0"/>
        <w:jc w:val="left"/>
        <w:rPr>
          <w:sz w:val="22"/>
        </w:rPr>
      </w:pPr>
      <w:hyperlink r:id="rId115">
        <w:r>
          <w:rPr>
            <w:color w:val="0000FF"/>
            <w:sz w:val="22"/>
            <w:u w:val="single" w:color="0000FF"/>
          </w:rPr>
          <w:t>www.twitter.com/NWSSpokane</w:t>
        </w:r>
      </w:hyperlink>
    </w:p>
    <w:p>
      <w:pPr>
        <w:pStyle w:val="BodyText"/>
        <w:rPr>
          <w:sz w:val="20"/>
        </w:rPr>
      </w:pPr>
    </w:p>
    <w:p>
      <w:pPr>
        <w:pStyle w:val="BodyText"/>
        <w:rPr>
          <w:sz w:val="20"/>
        </w:rPr>
      </w:pPr>
    </w:p>
    <w:p>
      <w:pPr>
        <w:pStyle w:val="BodyText"/>
        <w:spacing w:before="1"/>
        <w:rPr>
          <w:sz w:val="18"/>
        </w:rPr>
      </w:pPr>
    </w:p>
    <w:p>
      <w:pPr>
        <w:pStyle w:val="Heading5"/>
        <w:spacing w:before="89"/>
        <w:rPr>
          <w:u w:val="none"/>
        </w:rPr>
      </w:pPr>
      <w:bookmarkStart w:name="FORECAST DISTRICT" w:id="117"/>
      <w:bookmarkEnd w:id="117"/>
      <w:r>
        <w:rPr>
          <w:b w:val="0"/>
          <w:u w:val="none"/>
        </w:rPr>
      </w:r>
      <w:r>
        <w:rPr>
          <w:u w:val="thick"/>
        </w:rPr>
        <w:t>FORECAST DISTRICT</w:t>
      </w:r>
    </w:p>
    <w:p>
      <w:pPr>
        <w:pStyle w:val="BodyText"/>
        <w:spacing w:before="3"/>
        <w:ind w:left="1100" w:right="1102"/>
      </w:pPr>
      <w:r>
        <w:rPr/>
        <w:t>The NWS Spokane office has fire weather forecast responsibility for a large portion of protected lands in eastern Washington. Exceptions are the Blue Mountains area, the Yakama Indian Nation lands, the DOE Hanford Site, and portions of the Southeast</w:t>
      </w:r>
    </w:p>
    <w:p>
      <w:pPr>
        <w:spacing w:after="0"/>
        <w:sectPr>
          <w:pgSz w:w="12240" w:h="15840"/>
          <w:pgMar w:header="0" w:footer="968" w:top="1280" w:bottom="1160" w:left="340" w:right="620"/>
        </w:sectPr>
      </w:pPr>
    </w:p>
    <w:p>
      <w:pPr>
        <w:pStyle w:val="BodyText"/>
        <w:spacing w:before="76"/>
        <w:ind w:left="1100" w:right="995"/>
      </w:pPr>
      <w:r>
        <w:rPr/>
        <w:t>Department of Natural Resources (DNR) land. These protected lands are the forecast responsibility of the National Weather Service Office Pendleton Fire Weather program.</w:t>
      </w:r>
    </w:p>
    <w:p>
      <w:pPr>
        <w:pStyle w:val="BodyText"/>
        <w:spacing w:before="9"/>
        <w:rPr>
          <w:sz w:val="23"/>
        </w:rPr>
      </w:pPr>
    </w:p>
    <w:p>
      <w:pPr>
        <w:pStyle w:val="BodyText"/>
        <w:ind w:left="1100" w:right="862"/>
      </w:pPr>
      <w:r>
        <w:rPr/>
        <w:t>NWSO Spokane Fire Weather’s area of responsibility for Eastern Washington is divided into six districts for fire weather forecasting. In addition, these forecast districts are further sub-divided into ten fire weather zones. See the map for general locations of districts and zones for eastern Washington. The weather zones are comprised of fire danger stations with similar weather and similar trends in weather changes.</w:t>
      </w:r>
    </w:p>
    <w:p>
      <w:pPr>
        <w:pStyle w:val="BodyText"/>
      </w:pPr>
    </w:p>
    <w:p>
      <w:pPr>
        <w:pStyle w:val="BodyText"/>
        <w:ind w:left="1100" w:right="967"/>
      </w:pPr>
      <w:r>
        <w:rPr/>
        <w:t>NWSO Spokane has forecast responsibility for the Central and Northern Idaho Panhandle. This district has one (1) zone (101) covering the Idaho Panhandle National Forests, Idaho State Lands, and Coeur d’Alene Indian Agency lands.</w:t>
      </w:r>
    </w:p>
    <w:p>
      <w:pPr>
        <w:pStyle w:val="BodyText"/>
        <w:spacing w:before="9"/>
        <w:rPr>
          <w:sz w:val="23"/>
        </w:rPr>
      </w:pPr>
    </w:p>
    <w:p>
      <w:pPr>
        <w:pStyle w:val="Heading5"/>
        <w:rPr>
          <w:u w:val="none"/>
        </w:rPr>
      </w:pPr>
      <w:bookmarkStart w:name="AGENCIES SERVED:" w:id="118"/>
      <w:bookmarkEnd w:id="118"/>
      <w:r>
        <w:rPr>
          <w:b w:val="0"/>
          <w:u w:val="none"/>
        </w:rPr>
      </w:r>
      <w:r>
        <w:rPr>
          <w:u w:val="thick"/>
        </w:rPr>
        <w:t>AGENCIES SERVED:</w:t>
      </w:r>
    </w:p>
    <w:p>
      <w:pPr>
        <w:pStyle w:val="BodyText"/>
        <w:spacing w:before="2"/>
        <w:ind w:left="1100"/>
      </w:pPr>
      <w:r>
        <w:rPr/>
        <w:t>Land management agencies served by the Spokane Fire Weather Office include:</w:t>
      </w:r>
    </w:p>
    <w:p>
      <w:pPr>
        <w:pStyle w:val="BodyText"/>
      </w:pPr>
    </w:p>
    <w:p>
      <w:pPr>
        <w:pStyle w:val="BodyText"/>
        <w:tabs>
          <w:tab w:pos="3979" w:val="left" w:leader="none"/>
        </w:tabs>
        <w:ind w:left="3980" w:right="5694" w:hanging="2880"/>
      </w:pPr>
      <w:r>
        <w:rPr/>
        <w:t>USFS....</w:t>
        <w:tab/>
        <w:t>Colville NF Wenatchee NF Okanagan</w:t>
      </w:r>
      <w:r>
        <w:rPr>
          <w:spacing w:val="-6"/>
        </w:rPr>
        <w:t> </w:t>
      </w:r>
      <w:r>
        <w:rPr/>
        <w:t>NF</w:t>
      </w:r>
    </w:p>
    <w:p>
      <w:pPr>
        <w:pStyle w:val="BodyText"/>
        <w:ind w:left="3980"/>
      </w:pPr>
      <w:r>
        <w:rPr/>
        <w:t>Idaho Panhandle NF</w:t>
      </w:r>
    </w:p>
    <w:p>
      <w:pPr>
        <w:pStyle w:val="BodyText"/>
        <w:spacing w:before="5"/>
      </w:pPr>
    </w:p>
    <w:p>
      <w:pPr>
        <w:pStyle w:val="BodyText"/>
        <w:tabs>
          <w:tab w:pos="4061" w:val="left" w:leader="none"/>
        </w:tabs>
        <w:spacing w:line="237" w:lineRule="auto"/>
        <w:ind w:left="4035" w:right="4929" w:hanging="2936"/>
      </w:pPr>
      <w:r>
        <w:rPr/>
        <w:t>BLM....</w:t>
        <w:tab/>
        <w:tab/>
        <w:t>Spokane District Coeur d’Alene</w:t>
      </w:r>
      <w:r>
        <w:rPr>
          <w:spacing w:val="-19"/>
        </w:rPr>
        <w:t> </w:t>
      </w:r>
      <w:r>
        <w:rPr/>
        <w:t>District</w:t>
      </w:r>
    </w:p>
    <w:p>
      <w:pPr>
        <w:pStyle w:val="BodyText"/>
        <w:spacing w:before="1"/>
      </w:pPr>
    </w:p>
    <w:p>
      <w:pPr>
        <w:pStyle w:val="BodyText"/>
        <w:tabs>
          <w:tab w:pos="3979" w:val="left" w:leader="none"/>
        </w:tabs>
        <w:ind w:left="3980" w:right="2271" w:hanging="2880"/>
      </w:pPr>
      <w:r>
        <w:rPr/>
        <w:t>BIA....</w:t>
        <w:tab/>
        <w:t>Confederated Tribes of the Colville</w:t>
      </w:r>
      <w:r>
        <w:rPr>
          <w:spacing w:val="-38"/>
        </w:rPr>
        <w:t> </w:t>
      </w:r>
      <w:r>
        <w:rPr/>
        <w:t>Reservation Spokane Indian Tribe of</w:t>
      </w:r>
      <w:r>
        <w:rPr>
          <w:spacing w:val="-19"/>
        </w:rPr>
        <w:t> </w:t>
      </w:r>
      <w:r>
        <w:rPr/>
        <w:t>Indians</w:t>
      </w:r>
    </w:p>
    <w:p>
      <w:pPr>
        <w:pStyle w:val="BodyText"/>
        <w:ind w:left="3979" w:right="4039"/>
      </w:pPr>
      <w:r>
        <w:rPr/>
        <w:t>Coeur d’Alene Tribe of Indians Kalispel Tribe of Indians</w:t>
      </w:r>
    </w:p>
    <w:p>
      <w:pPr>
        <w:pStyle w:val="BodyText"/>
        <w:spacing w:before="2"/>
        <w:rPr>
          <w:sz w:val="32"/>
        </w:rPr>
      </w:pPr>
    </w:p>
    <w:p>
      <w:pPr>
        <w:pStyle w:val="BodyText"/>
        <w:tabs>
          <w:tab w:pos="3979" w:val="left" w:leader="none"/>
        </w:tabs>
        <w:ind w:left="3970" w:right="3665" w:hanging="2972"/>
      </w:pPr>
      <w:r>
        <w:rPr/>
        <w:t>NWR...</w:t>
        <w:tab/>
        <w:tab/>
        <w:t>Turnbull National Wildlife Refuge Columbia National Wildlife Refuge Kootenai National Wildlife Refuge Lake Pend Oreille Wildlife Refuge Sinhalekin Wildlife</w:t>
      </w:r>
      <w:r>
        <w:rPr>
          <w:spacing w:val="-17"/>
        </w:rPr>
        <w:t> </w:t>
      </w:r>
      <w:r>
        <w:rPr/>
        <w:t>Refuge</w:t>
      </w:r>
    </w:p>
    <w:p>
      <w:pPr>
        <w:pStyle w:val="BodyText"/>
        <w:spacing w:before="9"/>
        <w:rPr>
          <w:sz w:val="23"/>
        </w:rPr>
      </w:pPr>
    </w:p>
    <w:p>
      <w:pPr>
        <w:pStyle w:val="BodyText"/>
        <w:tabs>
          <w:tab w:pos="3979" w:val="left" w:leader="none"/>
        </w:tabs>
        <w:ind w:left="1100"/>
      </w:pPr>
      <w:r>
        <w:rPr/>
        <w:t>Washington</w:t>
      </w:r>
      <w:r>
        <w:rPr>
          <w:spacing w:val="-4"/>
        </w:rPr>
        <w:t> </w:t>
      </w:r>
      <w:r>
        <w:rPr/>
        <w:t>DNR...</w:t>
        <w:tab/>
        <w:t>Northeast Area Resource Protection</w:t>
      </w:r>
      <w:r>
        <w:rPr>
          <w:spacing w:val="-37"/>
        </w:rPr>
        <w:t> </w:t>
      </w:r>
      <w:r>
        <w:rPr/>
        <w:t>Division</w:t>
      </w:r>
    </w:p>
    <w:p>
      <w:pPr>
        <w:pStyle w:val="BodyText"/>
        <w:ind w:left="3980"/>
      </w:pPr>
      <w:r>
        <w:rPr/>
        <w:t>Southeast Area Resource protection Division</w:t>
      </w:r>
    </w:p>
    <w:p>
      <w:pPr>
        <w:pStyle w:val="BodyText"/>
      </w:pPr>
    </w:p>
    <w:p>
      <w:pPr>
        <w:pStyle w:val="BodyText"/>
        <w:tabs>
          <w:tab w:pos="3979" w:val="left" w:leader="none"/>
        </w:tabs>
        <w:ind w:left="1100"/>
      </w:pPr>
      <w:r>
        <w:rPr/>
        <w:t>Idaho...</w:t>
        <w:tab/>
        <w:t>Department of State</w:t>
      </w:r>
      <w:r>
        <w:rPr>
          <w:spacing w:val="-11"/>
        </w:rPr>
        <w:t> </w:t>
      </w:r>
      <w:r>
        <w:rPr/>
        <w:t>Lands</w:t>
      </w:r>
    </w:p>
    <w:p>
      <w:pPr>
        <w:pStyle w:val="BodyText"/>
      </w:pPr>
    </w:p>
    <w:p>
      <w:pPr>
        <w:pStyle w:val="BodyText"/>
        <w:tabs>
          <w:tab w:pos="3979" w:val="left" w:leader="none"/>
        </w:tabs>
        <w:ind w:left="1100"/>
      </w:pPr>
      <w:r>
        <w:rPr/>
        <w:t>Other</w:t>
      </w:r>
      <w:r>
        <w:rPr>
          <w:spacing w:val="-7"/>
        </w:rPr>
        <w:t> </w:t>
      </w:r>
      <w:r>
        <w:rPr/>
        <w:t>Public</w:t>
      </w:r>
      <w:r>
        <w:rPr>
          <w:spacing w:val="-7"/>
        </w:rPr>
        <w:t> </w:t>
      </w:r>
      <w:r>
        <w:rPr/>
        <w:t>Agencies...</w:t>
        <w:tab/>
        <w:t>Coulee Dam National Recreation</w:t>
      </w:r>
      <w:r>
        <w:rPr>
          <w:spacing w:val="-27"/>
        </w:rPr>
        <w:t> </w:t>
      </w:r>
      <w:r>
        <w:rPr/>
        <w:t>Area</w:t>
      </w:r>
    </w:p>
    <w:p>
      <w:pPr>
        <w:pStyle w:val="BodyText"/>
        <w:ind w:left="3980"/>
      </w:pPr>
      <w:r>
        <w:rPr/>
        <w:t>Lake Chelan National Recreation Area</w:t>
      </w:r>
    </w:p>
    <w:p>
      <w:pPr>
        <w:pStyle w:val="BodyText"/>
        <w:spacing w:before="10"/>
        <w:rPr>
          <w:sz w:val="31"/>
        </w:rPr>
      </w:pPr>
    </w:p>
    <w:p>
      <w:pPr>
        <w:pStyle w:val="Heading5"/>
        <w:rPr>
          <w:u w:val="none"/>
        </w:rPr>
      </w:pPr>
      <w:bookmarkStart w:name="FORECAST SERVICES:" w:id="119"/>
      <w:bookmarkEnd w:id="119"/>
      <w:r>
        <w:rPr>
          <w:b w:val="0"/>
          <w:u w:val="none"/>
        </w:rPr>
      </w:r>
      <w:r>
        <w:rPr>
          <w:u w:val="thick"/>
        </w:rPr>
        <w:t>FORECAST SERVICES:</w:t>
      </w:r>
    </w:p>
    <w:p>
      <w:pPr>
        <w:pStyle w:val="BodyText"/>
        <w:spacing w:before="2"/>
        <w:rPr>
          <w:b/>
          <w:sz w:val="16"/>
        </w:rPr>
      </w:pPr>
    </w:p>
    <w:p>
      <w:pPr>
        <w:spacing w:before="93"/>
        <w:ind w:left="1100" w:right="0" w:firstLine="0"/>
        <w:jc w:val="left"/>
        <w:rPr>
          <w:sz w:val="24"/>
        </w:rPr>
      </w:pPr>
      <w:r>
        <w:rPr>
          <w:b/>
          <w:sz w:val="24"/>
        </w:rPr>
        <w:t>Fire Weather Watches and Red Flag Warnings: </w:t>
      </w:r>
      <w:r>
        <w:rPr>
          <w:sz w:val="24"/>
        </w:rPr>
        <w:t>Red Flag criteria for eastern</w:t>
      </w:r>
    </w:p>
    <w:p>
      <w:pPr>
        <w:spacing w:after="0"/>
        <w:jc w:val="left"/>
        <w:rPr>
          <w:sz w:val="24"/>
        </w:rPr>
        <w:sectPr>
          <w:pgSz w:w="12240" w:h="15840"/>
          <w:pgMar w:header="0" w:footer="968" w:top="1280" w:bottom="1240" w:left="340" w:right="620"/>
        </w:sectPr>
      </w:pPr>
    </w:p>
    <w:p>
      <w:pPr>
        <w:pStyle w:val="BodyText"/>
        <w:spacing w:line="275" w:lineRule="exact" w:before="76"/>
        <w:ind w:left="1100"/>
      </w:pPr>
      <w:r>
        <w:rPr/>
        <w:t>Washington and Northern Idaho are as follows:</w:t>
      </w:r>
    </w:p>
    <w:p>
      <w:pPr>
        <w:pStyle w:val="ListParagraph"/>
        <w:numPr>
          <w:ilvl w:val="1"/>
          <w:numId w:val="16"/>
        </w:numPr>
        <w:tabs>
          <w:tab w:pos="1819" w:val="left" w:leader="none"/>
          <w:tab w:pos="1820" w:val="left" w:leader="none"/>
        </w:tabs>
        <w:spacing w:line="235" w:lineRule="auto" w:before="4" w:after="0"/>
        <w:ind w:left="1820" w:right="1918" w:hanging="360"/>
        <w:jc w:val="left"/>
        <w:rPr>
          <w:i/>
          <w:sz w:val="24"/>
        </w:rPr>
      </w:pPr>
      <w:r>
        <w:rPr>
          <w:sz w:val="24"/>
        </w:rPr>
        <w:t>“Dry thunderstorm” Red Flag criteria is defined as </w:t>
      </w:r>
      <w:r>
        <w:rPr>
          <w:i/>
          <w:sz w:val="24"/>
          <w:u w:val="single"/>
        </w:rPr>
        <w:t>abundant lightning in </w:t>
      </w:r>
      <w:r>
        <w:rPr>
          <w:i/>
          <w:sz w:val="24"/>
          <w:u w:val="single"/>
        </w:rPr>
        <w:t>conjunction with sufficiently dry</w:t>
      </w:r>
      <w:r>
        <w:rPr>
          <w:i/>
          <w:spacing w:val="-13"/>
          <w:sz w:val="24"/>
          <w:u w:val="single"/>
        </w:rPr>
        <w:t> </w:t>
      </w:r>
      <w:r>
        <w:rPr>
          <w:i/>
          <w:sz w:val="24"/>
          <w:u w:val="single"/>
        </w:rPr>
        <w:t>fuels</w:t>
      </w:r>
      <w:r>
        <w:rPr>
          <w:i/>
          <w:sz w:val="24"/>
        </w:rPr>
        <w:t>.</w:t>
      </w:r>
    </w:p>
    <w:p>
      <w:pPr>
        <w:pStyle w:val="BodyText"/>
        <w:spacing w:before="9"/>
        <w:rPr>
          <w:i/>
          <w:sz w:val="16"/>
        </w:rPr>
      </w:pPr>
    </w:p>
    <w:p>
      <w:pPr>
        <w:pStyle w:val="BodyText"/>
        <w:spacing w:before="93"/>
        <w:ind w:left="1952" w:right="1558" w:hanging="135"/>
      </w:pPr>
      <w:r>
        <w:rPr/>
        <w:t>“Abundant” and “Sufficient” are locally defined and verified by NWS offices and their fire agency customers using the following GACC AOP-wide guidelines:</w:t>
      </w:r>
    </w:p>
    <w:p>
      <w:pPr>
        <w:pStyle w:val="BodyText"/>
      </w:pPr>
    </w:p>
    <w:p>
      <w:pPr>
        <w:pStyle w:val="BodyText"/>
        <w:ind w:left="2360"/>
      </w:pPr>
      <w:r>
        <w:rPr>
          <w:u w:val="single"/>
        </w:rPr>
        <w:t>Abundant Lightning:</w:t>
      </w:r>
    </w:p>
    <w:p>
      <w:pPr>
        <w:pStyle w:val="ListParagraph"/>
        <w:numPr>
          <w:ilvl w:val="0"/>
          <w:numId w:val="17"/>
        </w:numPr>
        <w:tabs>
          <w:tab w:pos="2821" w:val="left" w:leader="none"/>
        </w:tabs>
        <w:spacing w:line="240" w:lineRule="auto" w:before="0" w:after="0"/>
        <w:ind w:left="2540" w:right="1731" w:firstLine="0"/>
        <w:jc w:val="left"/>
        <w:rPr>
          <w:sz w:val="24"/>
        </w:rPr>
      </w:pPr>
      <w:r>
        <w:rPr>
          <w:sz w:val="24"/>
        </w:rPr>
        <w:t>Number of lightning strikes that meet climatologically significant criteria,</w:t>
      </w:r>
      <w:r>
        <w:rPr>
          <w:spacing w:val="-5"/>
          <w:sz w:val="24"/>
        </w:rPr>
        <w:t> </w:t>
      </w:r>
      <w:r>
        <w:rPr>
          <w:sz w:val="24"/>
        </w:rPr>
        <w:t>or</w:t>
      </w:r>
    </w:p>
    <w:p>
      <w:pPr>
        <w:pStyle w:val="ListParagraph"/>
        <w:numPr>
          <w:ilvl w:val="0"/>
          <w:numId w:val="17"/>
        </w:numPr>
        <w:tabs>
          <w:tab w:pos="2821" w:val="left" w:leader="none"/>
        </w:tabs>
        <w:spacing w:line="240" w:lineRule="auto" w:before="0" w:after="0"/>
        <w:ind w:left="2540" w:right="0" w:firstLine="0"/>
        <w:jc w:val="left"/>
        <w:rPr>
          <w:sz w:val="24"/>
        </w:rPr>
      </w:pPr>
      <w:r>
        <w:rPr>
          <w:sz w:val="24"/>
        </w:rPr>
        <w:t>Areal coverage of lightning such as “Scattered” or </w:t>
      </w:r>
      <w:r>
        <w:rPr>
          <w:sz w:val="24"/>
          <w:u w:val="single"/>
        </w:rPr>
        <w:t>&gt;</w:t>
      </w:r>
      <w:r>
        <w:rPr>
          <w:spacing w:val="-20"/>
          <w:sz w:val="24"/>
        </w:rPr>
        <w:t> </w:t>
      </w:r>
      <w:r>
        <w:rPr>
          <w:sz w:val="24"/>
        </w:rPr>
        <w:t>25%</w:t>
      </w:r>
    </w:p>
    <w:p>
      <w:pPr>
        <w:pStyle w:val="BodyText"/>
        <w:rPr>
          <w:sz w:val="16"/>
        </w:rPr>
      </w:pPr>
    </w:p>
    <w:p>
      <w:pPr>
        <w:pStyle w:val="BodyText"/>
        <w:spacing w:before="92"/>
        <w:ind w:left="2360"/>
      </w:pPr>
      <w:r>
        <w:rPr>
          <w:u w:val="single"/>
        </w:rPr>
        <w:t>Sufficiently Dry Fuels:</w:t>
      </w:r>
    </w:p>
    <w:p>
      <w:pPr>
        <w:pStyle w:val="ListParagraph"/>
        <w:numPr>
          <w:ilvl w:val="0"/>
          <w:numId w:val="18"/>
        </w:numPr>
        <w:tabs>
          <w:tab w:pos="2821" w:val="left" w:leader="none"/>
        </w:tabs>
        <w:spacing w:line="240" w:lineRule="auto" w:before="0" w:after="0"/>
        <w:ind w:left="2820" w:right="0" w:hanging="280"/>
        <w:jc w:val="left"/>
        <w:rPr>
          <w:sz w:val="24"/>
        </w:rPr>
      </w:pPr>
      <w:r>
        <w:rPr>
          <w:sz w:val="24"/>
        </w:rPr>
        <w:t>ERC or BI values meeting climatologically significant percentiles</w:t>
      </w:r>
      <w:r>
        <w:rPr>
          <w:spacing w:val="-32"/>
          <w:sz w:val="24"/>
        </w:rPr>
        <w:t> </w:t>
      </w:r>
      <w:r>
        <w:rPr>
          <w:sz w:val="24"/>
        </w:rPr>
        <w:t>or</w:t>
      </w:r>
    </w:p>
    <w:p>
      <w:pPr>
        <w:pStyle w:val="ListParagraph"/>
        <w:numPr>
          <w:ilvl w:val="0"/>
          <w:numId w:val="18"/>
        </w:numPr>
        <w:tabs>
          <w:tab w:pos="2821" w:val="left" w:leader="none"/>
        </w:tabs>
        <w:spacing w:line="240" w:lineRule="auto" w:before="0" w:after="0"/>
        <w:ind w:left="2820" w:right="0" w:hanging="280"/>
        <w:jc w:val="left"/>
        <w:rPr>
          <w:sz w:val="24"/>
        </w:rPr>
      </w:pPr>
      <w:r>
        <w:rPr>
          <w:sz w:val="24"/>
        </w:rPr>
        <w:t>Land management</w:t>
      </w:r>
      <w:r>
        <w:rPr>
          <w:spacing w:val="-14"/>
          <w:sz w:val="24"/>
        </w:rPr>
        <w:t> </w:t>
      </w:r>
      <w:r>
        <w:rPr>
          <w:sz w:val="24"/>
        </w:rPr>
        <w:t>declaration</w:t>
      </w:r>
    </w:p>
    <w:p>
      <w:pPr>
        <w:pStyle w:val="BodyText"/>
        <w:spacing w:before="3"/>
      </w:pPr>
    </w:p>
    <w:p>
      <w:pPr>
        <w:pStyle w:val="ListParagraph"/>
        <w:numPr>
          <w:ilvl w:val="1"/>
          <w:numId w:val="16"/>
        </w:numPr>
        <w:tabs>
          <w:tab w:pos="1819" w:val="left" w:leader="none"/>
          <w:tab w:pos="1820" w:val="left" w:leader="none"/>
        </w:tabs>
        <w:spacing w:line="235" w:lineRule="auto" w:before="0" w:after="0"/>
        <w:ind w:left="1820" w:right="1186" w:hanging="360"/>
        <w:jc w:val="left"/>
        <w:rPr>
          <w:sz w:val="24"/>
        </w:rPr>
      </w:pPr>
      <w:r>
        <w:rPr>
          <w:sz w:val="24"/>
          <w:u w:val="single"/>
        </w:rPr>
        <w:t>Sustained surface winds</w:t>
      </w:r>
      <w:r>
        <w:rPr>
          <w:sz w:val="24"/>
        </w:rPr>
        <w:t> exceeding a 10-minute average of 15 mph combined with relative humidity less</w:t>
      </w:r>
      <w:r>
        <w:rPr>
          <w:spacing w:val="-11"/>
          <w:sz w:val="24"/>
        </w:rPr>
        <w:t> </w:t>
      </w:r>
      <w:r>
        <w:rPr>
          <w:sz w:val="24"/>
        </w:rPr>
        <w:t>than:</w:t>
      </w:r>
    </w:p>
    <w:p>
      <w:pPr>
        <w:pStyle w:val="ListParagraph"/>
        <w:numPr>
          <w:ilvl w:val="2"/>
          <w:numId w:val="16"/>
        </w:numPr>
        <w:tabs>
          <w:tab w:pos="3259" w:val="left" w:leader="none"/>
          <w:tab w:pos="3260" w:val="left" w:leader="none"/>
        </w:tabs>
        <w:spacing w:line="289" w:lineRule="exact" w:before="10" w:after="0"/>
        <w:ind w:left="3260" w:right="0" w:hanging="720"/>
        <w:jc w:val="left"/>
        <w:rPr>
          <w:sz w:val="24"/>
        </w:rPr>
      </w:pPr>
      <w:r>
        <w:rPr>
          <w:sz w:val="24"/>
        </w:rPr>
        <w:t>15% in the Columbia Basin (zone</w:t>
      </w:r>
      <w:r>
        <w:rPr>
          <w:spacing w:val="-17"/>
          <w:sz w:val="24"/>
        </w:rPr>
        <w:t> </w:t>
      </w:r>
      <w:r>
        <w:rPr>
          <w:sz w:val="24"/>
        </w:rPr>
        <w:t>673)</w:t>
      </w:r>
    </w:p>
    <w:p>
      <w:pPr>
        <w:pStyle w:val="ListParagraph"/>
        <w:numPr>
          <w:ilvl w:val="2"/>
          <w:numId w:val="16"/>
        </w:numPr>
        <w:tabs>
          <w:tab w:pos="3259" w:val="left" w:leader="none"/>
          <w:tab w:pos="3260" w:val="left" w:leader="none"/>
        </w:tabs>
        <w:spacing w:line="282" w:lineRule="exact" w:before="0" w:after="0"/>
        <w:ind w:left="3260" w:right="0" w:hanging="720"/>
        <w:jc w:val="left"/>
        <w:rPr>
          <w:sz w:val="24"/>
        </w:rPr>
      </w:pPr>
      <w:r>
        <w:rPr>
          <w:sz w:val="24"/>
        </w:rPr>
        <w:t>25% in the mountainous</w:t>
      </w:r>
      <w:r>
        <w:rPr>
          <w:spacing w:val="-10"/>
          <w:sz w:val="24"/>
        </w:rPr>
        <w:t> </w:t>
      </w:r>
      <w:r>
        <w:rPr>
          <w:sz w:val="24"/>
        </w:rPr>
        <w:t>areas</w:t>
      </w:r>
    </w:p>
    <w:p>
      <w:pPr>
        <w:pStyle w:val="ListParagraph"/>
        <w:numPr>
          <w:ilvl w:val="2"/>
          <w:numId w:val="16"/>
        </w:numPr>
        <w:tabs>
          <w:tab w:pos="3259" w:val="left" w:leader="none"/>
          <w:tab w:pos="3260" w:val="left" w:leader="none"/>
        </w:tabs>
        <w:spacing w:line="290" w:lineRule="exact" w:before="0" w:after="0"/>
        <w:ind w:left="3260" w:right="0" w:hanging="720"/>
        <w:jc w:val="left"/>
        <w:rPr>
          <w:sz w:val="24"/>
        </w:rPr>
      </w:pPr>
      <w:r>
        <w:rPr>
          <w:sz w:val="24"/>
        </w:rPr>
        <w:t>20% in the lower valley zones (including zone</w:t>
      </w:r>
      <w:r>
        <w:rPr>
          <w:spacing w:val="-23"/>
          <w:sz w:val="24"/>
        </w:rPr>
        <w:t> </w:t>
      </w:r>
      <w:r>
        <w:rPr>
          <w:sz w:val="24"/>
        </w:rPr>
        <w:t>674)</w:t>
      </w:r>
    </w:p>
    <w:p>
      <w:pPr>
        <w:spacing w:before="238"/>
        <w:ind w:left="1820" w:right="823" w:firstLine="0"/>
        <w:jc w:val="left"/>
        <w:rPr>
          <w:sz w:val="24"/>
        </w:rPr>
      </w:pPr>
      <w:r>
        <w:rPr>
          <w:sz w:val="24"/>
        </w:rPr>
        <w:t>This is typically (but not always) associated with a dry cold front passage. These conditions must be verified by at least 2 observation sites (RAWS, METAR, DOT, Agrimet etc) for 2 consecutive hours. </w:t>
      </w:r>
      <w:r>
        <w:rPr>
          <w:b/>
          <w:sz w:val="24"/>
        </w:rPr>
        <w:t>For Idaho Zone 101 the criteria will be at least 2 observations sites for any 3 hours in an 8 hour period. </w:t>
      </w:r>
      <w:r>
        <w:rPr>
          <w:sz w:val="24"/>
        </w:rPr>
        <w:t>When using</w:t>
      </w:r>
    </w:p>
    <w:p>
      <w:pPr>
        <w:pStyle w:val="BodyText"/>
        <w:spacing w:line="237" w:lineRule="auto" w:before="81"/>
        <w:ind w:left="1820" w:right="1289"/>
      </w:pPr>
      <w:r>
        <w:rPr/>
        <w:t>observation sites other than RAWS sites wind speeds will be converted to 10 minute averages.</w:t>
      </w:r>
    </w:p>
    <w:p>
      <w:pPr>
        <w:pStyle w:val="BodyText"/>
        <w:spacing w:before="1"/>
      </w:pPr>
    </w:p>
    <w:p>
      <w:pPr>
        <w:pStyle w:val="BodyText"/>
        <w:ind w:left="1820" w:right="1862"/>
      </w:pPr>
      <w:r>
        <w:rPr/>
        <w:t>Special consideration will be given whenever very hot temperatures are combined with very low relative humidity.</w:t>
      </w:r>
    </w:p>
    <w:p>
      <w:pPr>
        <w:pStyle w:val="BodyText"/>
        <w:spacing w:before="1"/>
      </w:pPr>
    </w:p>
    <w:p>
      <w:pPr>
        <w:pStyle w:val="ListParagraph"/>
        <w:numPr>
          <w:ilvl w:val="1"/>
          <w:numId w:val="16"/>
        </w:numPr>
        <w:tabs>
          <w:tab w:pos="1819" w:val="left" w:leader="none"/>
          <w:tab w:pos="1820" w:val="left" w:leader="none"/>
        </w:tabs>
        <w:spacing w:line="240" w:lineRule="auto" w:before="0" w:after="0"/>
        <w:ind w:left="1820" w:right="1328" w:hanging="360"/>
        <w:jc w:val="left"/>
        <w:rPr>
          <w:sz w:val="24"/>
        </w:rPr>
      </w:pPr>
      <w:r>
        <w:rPr>
          <w:sz w:val="24"/>
          <w:u w:val="single"/>
        </w:rPr>
        <w:t>Haines</w:t>
      </w:r>
      <w:r>
        <w:rPr>
          <w:spacing w:val="-3"/>
          <w:sz w:val="24"/>
          <w:u w:val="single"/>
        </w:rPr>
        <w:t> </w:t>
      </w:r>
      <w:r>
        <w:rPr>
          <w:sz w:val="24"/>
          <w:u w:val="single"/>
        </w:rPr>
        <w:t>Index</w:t>
      </w:r>
      <w:r>
        <w:rPr>
          <w:spacing w:val="-6"/>
          <w:sz w:val="24"/>
        </w:rPr>
        <w:t> </w:t>
      </w:r>
      <w:r>
        <w:rPr>
          <w:sz w:val="24"/>
        </w:rPr>
        <w:t>of</w:t>
      </w:r>
      <w:r>
        <w:rPr>
          <w:spacing w:val="-2"/>
          <w:sz w:val="24"/>
        </w:rPr>
        <w:t> </w:t>
      </w:r>
      <w:r>
        <w:rPr>
          <w:sz w:val="24"/>
        </w:rPr>
        <w:t>6</w:t>
      </w:r>
      <w:r>
        <w:rPr>
          <w:spacing w:val="-2"/>
          <w:sz w:val="24"/>
        </w:rPr>
        <w:t> </w:t>
      </w:r>
      <w:r>
        <w:rPr>
          <w:sz w:val="24"/>
        </w:rPr>
        <w:t>when</w:t>
      </w:r>
      <w:r>
        <w:rPr>
          <w:spacing w:val="-2"/>
          <w:sz w:val="24"/>
        </w:rPr>
        <w:t> </w:t>
      </w:r>
      <w:r>
        <w:rPr>
          <w:sz w:val="24"/>
        </w:rPr>
        <w:t>combined</w:t>
      </w:r>
      <w:r>
        <w:rPr>
          <w:spacing w:val="-2"/>
          <w:sz w:val="24"/>
        </w:rPr>
        <w:t> </w:t>
      </w:r>
      <w:r>
        <w:rPr>
          <w:sz w:val="24"/>
        </w:rPr>
        <w:t>with</w:t>
      </w:r>
      <w:r>
        <w:rPr>
          <w:spacing w:val="-2"/>
          <w:sz w:val="24"/>
        </w:rPr>
        <w:t> </w:t>
      </w:r>
      <w:r>
        <w:rPr>
          <w:sz w:val="24"/>
        </w:rPr>
        <w:t>low</w:t>
      </w:r>
      <w:r>
        <w:rPr>
          <w:spacing w:val="-6"/>
          <w:sz w:val="24"/>
        </w:rPr>
        <w:t> </w:t>
      </w:r>
      <w:r>
        <w:rPr>
          <w:sz w:val="24"/>
        </w:rPr>
        <w:t>relative</w:t>
      </w:r>
      <w:r>
        <w:rPr>
          <w:spacing w:val="-2"/>
          <w:sz w:val="24"/>
        </w:rPr>
        <w:t> </w:t>
      </w:r>
      <w:r>
        <w:rPr>
          <w:sz w:val="24"/>
        </w:rPr>
        <w:t>humidity,</w:t>
      </w:r>
      <w:r>
        <w:rPr>
          <w:spacing w:val="-2"/>
          <w:sz w:val="24"/>
        </w:rPr>
        <w:t> </w:t>
      </w:r>
      <w:r>
        <w:rPr>
          <w:sz w:val="24"/>
        </w:rPr>
        <w:t>typically</w:t>
      </w:r>
      <w:r>
        <w:rPr>
          <w:spacing w:val="-5"/>
          <w:sz w:val="24"/>
        </w:rPr>
        <w:t> </w:t>
      </w:r>
      <w:r>
        <w:rPr>
          <w:sz w:val="24"/>
        </w:rPr>
        <w:t>15%</w:t>
      </w:r>
      <w:r>
        <w:rPr>
          <w:spacing w:val="-26"/>
          <w:sz w:val="24"/>
        </w:rPr>
        <w:t> </w:t>
      </w:r>
      <w:r>
        <w:rPr>
          <w:sz w:val="24"/>
        </w:rPr>
        <w:t>or below.</w:t>
      </w:r>
    </w:p>
    <w:p>
      <w:pPr>
        <w:pStyle w:val="BodyText"/>
        <w:spacing w:before="1"/>
      </w:pPr>
    </w:p>
    <w:p>
      <w:pPr>
        <w:pStyle w:val="ListParagraph"/>
        <w:numPr>
          <w:ilvl w:val="1"/>
          <w:numId w:val="16"/>
        </w:numPr>
        <w:tabs>
          <w:tab w:pos="1819" w:val="left" w:leader="none"/>
          <w:tab w:pos="1820" w:val="left" w:leader="none"/>
        </w:tabs>
        <w:spacing w:line="235" w:lineRule="auto" w:before="0" w:after="0"/>
        <w:ind w:left="1820" w:right="1402" w:hanging="360"/>
        <w:jc w:val="left"/>
        <w:rPr>
          <w:sz w:val="24"/>
        </w:rPr>
      </w:pPr>
      <w:r>
        <w:rPr>
          <w:sz w:val="24"/>
          <w:u w:val="single"/>
        </w:rPr>
        <w:t>Strong winds</w:t>
      </w:r>
      <w:r>
        <w:rPr>
          <w:sz w:val="24"/>
        </w:rPr>
        <w:t> that will overcome the environment no matter what the</w:t>
      </w:r>
      <w:r>
        <w:rPr>
          <w:spacing w:val="-37"/>
          <w:sz w:val="24"/>
        </w:rPr>
        <w:t> </w:t>
      </w:r>
      <w:r>
        <w:rPr>
          <w:sz w:val="24"/>
        </w:rPr>
        <w:t>relative humidity.</w:t>
      </w:r>
    </w:p>
    <w:p>
      <w:pPr>
        <w:pStyle w:val="BodyText"/>
        <w:spacing w:before="3"/>
      </w:pPr>
    </w:p>
    <w:p>
      <w:pPr>
        <w:pStyle w:val="ListParagraph"/>
        <w:numPr>
          <w:ilvl w:val="1"/>
          <w:numId w:val="16"/>
        </w:numPr>
        <w:tabs>
          <w:tab w:pos="1819" w:val="left" w:leader="none"/>
          <w:tab w:pos="1820" w:val="left" w:leader="none"/>
        </w:tabs>
        <w:spacing w:line="240" w:lineRule="auto" w:before="0" w:after="0"/>
        <w:ind w:left="1820" w:right="1329" w:hanging="360"/>
        <w:jc w:val="left"/>
        <w:rPr>
          <w:sz w:val="24"/>
        </w:rPr>
      </w:pPr>
      <w:r>
        <w:rPr>
          <w:sz w:val="24"/>
          <w:u w:val="single"/>
        </w:rPr>
        <w:t>An unusually unstable atmosphere</w:t>
      </w:r>
      <w:r>
        <w:rPr>
          <w:sz w:val="24"/>
        </w:rPr>
        <w:t> This would be associated with a strong thermal</w:t>
      </w:r>
      <w:r>
        <w:rPr>
          <w:spacing w:val="-3"/>
          <w:sz w:val="24"/>
        </w:rPr>
        <w:t> </w:t>
      </w:r>
      <w:r>
        <w:rPr>
          <w:sz w:val="24"/>
        </w:rPr>
        <w:t>trough</w:t>
      </w:r>
      <w:r>
        <w:rPr>
          <w:spacing w:val="-2"/>
          <w:sz w:val="24"/>
        </w:rPr>
        <w:t> </w:t>
      </w:r>
      <w:r>
        <w:rPr>
          <w:sz w:val="24"/>
        </w:rPr>
        <w:t>which</w:t>
      </w:r>
      <w:r>
        <w:rPr>
          <w:spacing w:val="-2"/>
          <w:sz w:val="24"/>
        </w:rPr>
        <w:t> </w:t>
      </w:r>
      <w:r>
        <w:rPr>
          <w:sz w:val="24"/>
        </w:rPr>
        <w:t>typically</w:t>
      </w:r>
      <w:r>
        <w:rPr>
          <w:spacing w:val="-5"/>
          <w:sz w:val="24"/>
        </w:rPr>
        <w:t> </w:t>
      </w:r>
      <w:r>
        <w:rPr>
          <w:sz w:val="24"/>
        </w:rPr>
        <w:t>forms</w:t>
      </w:r>
      <w:r>
        <w:rPr>
          <w:spacing w:val="-5"/>
          <w:sz w:val="24"/>
        </w:rPr>
        <w:t> </w:t>
      </w:r>
      <w:r>
        <w:rPr>
          <w:sz w:val="24"/>
        </w:rPr>
        <w:t>along</w:t>
      </w:r>
      <w:r>
        <w:rPr>
          <w:spacing w:val="-4"/>
          <w:sz w:val="24"/>
        </w:rPr>
        <w:t> </w:t>
      </w:r>
      <w:r>
        <w:rPr>
          <w:sz w:val="24"/>
        </w:rPr>
        <w:t>the</w:t>
      </w:r>
      <w:r>
        <w:rPr>
          <w:spacing w:val="-2"/>
          <w:sz w:val="24"/>
        </w:rPr>
        <w:t> </w:t>
      </w:r>
      <w:r>
        <w:rPr>
          <w:sz w:val="24"/>
        </w:rPr>
        <w:t>east</w:t>
      </w:r>
      <w:r>
        <w:rPr>
          <w:spacing w:val="-2"/>
          <w:sz w:val="24"/>
        </w:rPr>
        <w:t> </w:t>
      </w:r>
      <w:r>
        <w:rPr>
          <w:sz w:val="24"/>
        </w:rPr>
        <w:t>slopes</w:t>
      </w:r>
      <w:r>
        <w:rPr>
          <w:spacing w:val="-3"/>
          <w:sz w:val="24"/>
        </w:rPr>
        <w:t> </w:t>
      </w:r>
      <w:r>
        <w:rPr>
          <w:sz w:val="24"/>
        </w:rPr>
        <w:t>of</w:t>
      </w:r>
      <w:r>
        <w:rPr>
          <w:spacing w:val="-2"/>
          <w:sz w:val="24"/>
        </w:rPr>
        <w:t> </w:t>
      </w:r>
      <w:r>
        <w:rPr>
          <w:sz w:val="24"/>
        </w:rPr>
        <w:t>the</w:t>
      </w:r>
      <w:r>
        <w:rPr>
          <w:spacing w:val="-32"/>
          <w:sz w:val="24"/>
        </w:rPr>
        <w:t> </w:t>
      </w:r>
      <w:r>
        <w:rPr>
          <w:sz w:val="24"/>
        </w:rPr>
        <w:t>Washington Cascades.</w:t>
      </w:r>
    </w:p>
    <w:p>
      <w:pPr>
        <w:pStyle w:val="BodyText"/>
        <w:spacing w:before="10"/>
        <w:rPr>
          <w:sz w:val="23"/>
        </w:rPr>
      </w:pPr>
    </w:p>
    <w:p>
      <w:pPr>
        <w:pStyle w:val="BodyText"/>
        <w:ind w:left="1100" w:right="1028"/>
      </w:pPr>
      <w:r>
        <w:rPr/>
        <w:t>The issuance of Red Flag Warnings will take into account fuel conditions, and will be coordinated with land management agencies and other applicable fire weather offices. Typically when 1000 hour fuels are at or below 11%, 100 hour fuels are at or below 8% and Live Fuels at or below 120%.</w:t>
      </w:r>
    </w:p>
    <w:p>
      <w:pPr>
        <w:spacing w:after="0"/>
        <w:sectPr>
          <w:pgSz w:w="12240" w:h="15840"/>
          <w:pgMar w:header="0" w:footer="968" w:top="1280" w:bottom="1240" w:left="340" w:right="620"/>
        </w:sectPr>
      </w:pPr>
    </w:p>
    <w:p>
      <w:pPr>
        <w:pStyle w:val="BodyText"/>
        <w:spacing w:before="120"/>
        <w:ind w:left="1099" w:right="1009"/>
      </w:pPr>
      <w:r>
        <w:rPr>
          <w:b/>
        </w:rPr>
        <w:t>Spot Forecasts: </w:t>
      </w:r>
      <w:r>
        <w:rPr>
          <w:color w:val="1B1B1B"/>
        </w:rPr>
        <w:t>Detailed instructions for completing the Spot Request Form and access links are available on our Fire Weather Web page in the upper left hand corner or at:</w:t>
      </w:r>
    </w:p>
    <w:p>
      <w:pPr>
        <w:pStyle w:val="BodyText"/>
      </w:pPr>
    </w:p>
    <w:p>
      <w:pPr>
        <w:pStyle w:val="BodyText"/>
        <w:ind w:left="1167"/>
      </w:pPr>
      <w:hyperlink r:id="rId116">
        <w:r>
          <w:rPr>
            <w:color w:val="0462C1"/>
            <w:u w:val="single" w:color="0462C1"/>
          </w:rPr>
          <w:t>https://www.youtube.com/watch?v=4Or6flTaAHM&amp;feature=youtu.be</w:t>
        </w:r>
      </w:hyperlink>
    </w:p>
    <w:p>
      <w:pPr>
        <w:pStyle w:val="BodyText"/>
        <w:rPr>
          <w:sz w:val="16"/>
        </w:rPr>
      </w:pPr>
    </w:p>
    <w:p>
      <w:pPr>
        <w:pStyle w:val="Heading8"/>
        <w:spacing w:before="92"/>
      </w:pPr>
      <w:r>
        <w:rPr>
          <w:u w:val="thick"/>
        </w:rPr>
        <w:t>Valid times for spot forecasts will be twelve hours from forecast issuance.</w:t>
      </w:r>
    </w:p>
    <w:p>
      <w:pPr>
        <w:pStyle w:val="BodyText"/>
        <w:rPr>
          <w:b/>
          <w:sz w:val="16"/>
        </w:rPr>
      </w:pPr>
    </w:p>
    <w:p>
      <w:pPr>
        <w:pStyle w:val="BodyText"/>
        <w:spacing w:line="480" w:lineRule="auto" w:before="92"/>
        <w:ind w:left="1100" w:right="807"/>
      </w:pPr>
      <w:r>
        <w:rPr/>
        <w:t>The spot forecast request web page available on the Spokane fire weather web page at: </w:t>
      </w:r>
      <w:hyperlink r:id="rId117">
        <w:r>
          <w:rPr>
            <w:color w:val="0462C1"/>
            <w:u w:val="single" w:color="0462C1"/>
          </w:rPr>
          <w:t>http://www.weather.gov/spot/monitor/</w:t>
        </w:r>
      </w:hyperlink>
    </w:p>
    <w:p>
      <w:pPr>
        <w:pStyle w:val="BodyText"/>
        <w:ind w:left="1100" w:right="842"/>
      </w:pPr>
      <w:r>
        <w:rPr>
          <w:b/>
        </w:rPr>
        <w:t>Weather Briefings: </w:t>
      </w:r>
      <w:r>
        <w:rPr/>
        <w:t>nternet based weather briefings are available from the Spokane office as needed. During peak fire season, normally mid June-early October briefings will be daily at 0900 PDT. These briefings will be recorded and should be available on the Fire Weather Page by 030 PDT. During Land Management season briefings are available by customer request and are usually held twice per week for planning purposes. The phone number is 877-783-9070. The passcode is available by calling our office. Phone briefings are available 24 hours per day by calling 509-244-5031.</w:t>
      </w:r>
    </w:p>
    <w:p>
      <w:pPr>
        <w:pStyle w:val="BodyText"/>
        <w:spacing w:before="10"/>
        <w:rPr>
          <w:sz w:val="23"/>
        </w:rPr>
      </w:pPr>
    </w:p>
    <w:p>
      <w:pPr>
        <w:pStyle w:val="BodyText"/>
        <w:ind w:left="1100" w:right="928"/>
      </w:pPr>
      <w:r>
        <w:rPr>
          <w:b/>
        </w:rPr>
        <w:t>Social Media: </w:t>
      </w:r>
      <w:r>
        <w:rPr/>
        <w:t>NWS Spokane has a Facebook page, Twitter account, and a YouTube channel. Information about current Fire Weather may be included in these social media feeds, but such information is intended as supplemental information for the general public; it is not intended to meet the specialized needs of the wildland firefighting community.</w:t>
      </w:r>
      <w:r>
        <w:rPr>
          <w:spacing w:val="56"/>
        </w:rPr>
        <w:t> </w:t>
      </w:r>
      <w:hyperlink r:id="rId115">
        <w:r>
          <w:rPr>
            <w:color w:val="0462C1"/>
            <w:u w:val="single" w:color="0462C1"/>
          </w:rPr>
          <w:t>www.twitter.com/NWSSpokane</w:t>
        </w:r>
      </w:hyperlink>
    </w:p>
    <w:p>
      <w:pPr>
        <w:pStyle w:val="BodyText"/>
        <w:rPr>
          <w:sz w:val="20"/>
        </w:rPr>
      </w:pPr>
    </w:p>
    <w:p>
      <w:pPr>
        <w:pStyle w:val="BodyText"/>
        <w:spacing w:before="3"/>
        <w:rPr>
          <w:sz w:val="17"/>
        </w:rPr>
      </w:pPr>
    </w:p>
    <w:p>
      <w:pPr>
        <w:pStyle w:val="Heading5"/>
        <w:spacing w:before="89"/>
        <w:rPr>
          <w:u w:val="none"/>
        </w:rPr>
      </w:pPr>
      <w:bookmarkStart w:name="GEOGRAPHICAL ZONE DESCRIPTIONS" w:id="120"/>
      <w:bookmarkEnd w:id="120"/>
      <w:r>
        <w:rPr>
          <w:b w:val="0"/>
          <w:u w:val="none"/>
        </w:rPr>
      </w:r>
      <w:r>
        <w:rPr>
          <w:u w:val="thick"/>
        </w:rPr>
        <w:t>GEOGRAPHICAL ZONE DESCRIPTIONS</w:t>
      </w:r>
    </w:p>
    <w:p>
      <w:pPr>
        <w:pStyle w:val="BodyText"/>
        <w:spacing w:before="2"/>
        <w:rPr>
          <w:b/>
          <w:sz w:val="16"/>
        </w:rPr>
      </w:pPr>
    </w:p>
    <w:p>
      <w:pPr>
        <w:pStyle w:val="BodyText"/>
        <w:spacing w:before="92"/>
        <w:ind w:left="1100" w:right="848"/>
      </w:pPr>
      <w:r>
        <w:rPr/>
        <w:t>The National Weather Service Office in Spokane has fire weather forecast responsibility for protected lands in the northern and central part of eastern Washington and the northern and central Idaho Panhandle. Exceptions are the Blue Mountains area, the Yakama Indian Reservation, and portion of the Southeast Department of Natural Resources (DNR) protected lands. Forecasts for these areas are handled out of the National Weather Service office in Pendleton (see zone descriptions below).</w:t>
      </w:r>
    </w:p>
    <w:p>
      <w:pPr>
        <w:pStyle w:val="BodyText"/>
      </w:pPr>
    </w:p>
    <w:p>
      <w:pPr>
        <w:pStyle w:val="BodyText"/>
        <w:spacing w:before="1"/>
        <w:ind w:left="1100" w:right="841"/>
      </w:pPr>
      <w:r>
        <w:rPr/>
        <w:t>WFO Spokane’s eastern Washington fire weather area is divided into six districts. In addition, these forecast districts are further sub-divided into eleven fire weather zones. See the map for general locations of districts and zones for eastern Washington. The fire weather zones are comprised of fire danger stations with similar weather and similar trends in weather changes.</w:t>
      </w:r>
    </w:p>
    <w:p>
      <w:pPr>
        <w:pStyle w:val="BodyText"/>
        <w:rPr>
          <w:sz w:val="26"/>
        </w:rPr>
      </w:pPr>
    </w:p>
    <w:p>
      <w:pPr>
        <w:pStyle w:val="BodyText"/>
        <w:rPr>
          <w:sz w:val="22"/>
        </w:rPr>
      </w:pPr>
    </w:p>
    <w:p>
      <w:pPr>
        <w:pStyle w:val="Heading8"/>
        <w:rPr>
          <w:b w:val="0"/>
        </w:rPr>
      </w:pPr>
      <w:bookmarkStart w:name="South Central District:" w:id="121"/>
      <w:bookmarkEnd w:id="121"/>
      <w:r>
        <w:rPr>
          <w:b w:val="0"/>
        </w:rPr>
      </w:r>
      <w:r>
        <w:rPr/>
        <w:t>South Central District</w:t>
      </w:r>
      <w:r>
        <w:rPr>
          <w:b w:val="0"/>
        </w:rPr>
        <w:t>:</w:t>
      </w:r>
    </w:p>
    <w:p>
      <w:pPr>
        <w:pStyle w:val="BodyText"/>
        <w:ind w:left="1100" w:right="1235"/>
      </w:pPr>
      <w:r>
        <w:rPr/>
        <w:t>This district consists of two zones. Zone 676 lower elevations and Zone 680 higher elevations. The south central district covers those areas of the southern Washington</w:t>
      </w:r>
    </w:p>
    <w:p>
      <w:pPr>
        <w:spacing w:after="0"/>
        <w:sectPr>
          <w:pgSz w:w="12240" w:h="15840"/>
          <w:pgMar w:header="0" w:footer="968" w:top="1500" w:bottom="1240" w:left="340" w:right="620"/>
        </w:sectPr>
      </w:pPr>
    </w:p>
    <w:p>
      <w:pPr>
        <w:pStyle w:val="BodyText"/>
        <w:spacing w:before="76"/>
        <w:ind w:left="1100" w:right="1022"/>
      </w:pPr>
      <w:r>
        <w:rPr/>
        <w:t>Cascades north of the Yakama Indian Reservation to Mission Ridge. The district boundary also runs west to east from the Cascade crest to Interstate 82. This includes the Naches and Cle Elum Ranger Districts of the Wenatchee National Forest. This district has pronounced climate differences, from the marine air influence near the Cascade crest, to the dry arid climate of the valleys. This district has a relatively low frequency of lightning, and averages about 7-10 storm-days per season from June through September.</w:t>
      </w:r>
    </w:p>
    <w:p>
      <w:pPr>
        <w:pStyle w:val="BodyText"/>
        <w:rPr>
          <w:sz w:val="26"/>
        </w:rPr>
      </w:pPr>
    </w:p>
    <w:p>
      <w:pPr>
        <w:pStyle w:val="BodyText"/>
        <w:rPr>
          <w:sz w:val="22"/>
        </w:rPr>
      </w:pPr>
    </w:p>
    <w:p>
      <w:pPr>
        <w:pStyle w:val="Heading8"/>
        <w:rPr>
          <w:b w:val="0"/>
        </w:rPr>
      </w:pPr>
      <w:bookmarkStart w:name="Central District:" w:id="122"/>
      <w:bookmarkEnd w:id="122"/>
      <w:r>
        <w:rPr>
          <w:b w:val="0"/>
        </w:rPr>
      </w:r>
      <w:r>
        <w:rPr/>
        <w:t>Central District</w:t>
      </w:r>
      <w:r>
        <w:rPr>
          <w:b w:val="0"/>
        </w:rPr>
        <w:t>:</w:t>
      </w:r>
    </w:p>
    <w:p>
      <w:pPr>
        <w:pStyle w:val="BodyText"/>
        <w:ind w:left="1100" w:right="901"/>
      </w:pPr>
      <w:r>
        <w:rPr/>
        <w:t>This district has two zones. Zone 677 lower elevations and Zone 682 are the two zones in this district. This district extends from Mission Ridge north to Sawtooth Ridge, and from the Cascade crest east to the Columbia River. It includes the northern part of the Wenatchee NF. Lightning frequency averages around 10-15 storm-days per season.</w:t>
      </w:r>
    </w:p>
    <w:p>
      <w:pPr>
        <w:pStyle w:val="BodyText"/>
        <w:spacing w:before="1"/>
        <w:ind w:left="1099" w:right="1062"/>
      </w:pPr>
      <w:r>
        <w:rPr/>
        <w:t>The summer climate is similar to the South Central District, but winds tend to be stronger and more persistent, and day to day weather changes are more pronounced. This district contains some of the highest fire hazard areas in the Pacific Northwest.</w:t>
      </w:r>
    </w:p>
    <w:p>
      <w:pPr>
        <w:pStyle w:val="BodyText"/>
        <w:spacing w:before="9"/>
        <w:rPr>
          <w:sz w:val="23"/>
        </w:rPr>
      </w:pPr>
    </w:p>
    <w:p>
      <w:pPr>
        <w:pStyle w:val="Heading8"/>
        <w:rPr>
          <w:b w:val="0"/>
        </w:rPr>
      </w:pPr>
      <w:bookmarkStart w:name="Northern District:" w:id="123"/>
      <w:bookmarkEnd w:id="123"/>
      <w:r>
        <w:rPr>
          <w:b w:val="0"/>
        </w:rPr>
      </w:r>
      <w:r>
        <w:rPr/>
        <w:t>Northern District</w:t>
      </w:r>
      <w:r>
        <w:rPr>
          <w:b w:val="0"/>
        </w:rPr>
        <w:t>:</w:t>
      </w:r>
    </w:p>
    <w:p>
      <w:pPr>
        <w:pStyle w:val="BodyText"/>
        <w:ind w:left="1099" w:right="835"/>
      </w:pPr>
      <w:r>
        <w:rPr/>
        <w:t>This district has three zones. Zone 687 is the Okanogan Highland zone. Zone 684 lower elevations, mainly the Okanogan River Valley, and zone 685 higher elevations of the North Cascades. This district extends across the north part of eastern Washington from the Cascade crest to the Kettle River Ranger District on the east. It includes the Okanogan NF, the Republic Ranger district of the Colville NF, land under the protection of Northeast Department of Natural Resources, and the western and central parts of the Confederated Tribe of the Colville Indians. The marine influence is minimal in this district compared to the south central and central districts due to its more continental location. Winds are generally lighter than central and south central districts. Lightning activity though is greater, averaging about 15 storm-days per</w:t>
      </w:r>
      <w:r>
        <w:rPr>
          <w:spacing w:val="-13"/>
        </w:rPr>
        <w:t> </w:t>
      </w:r>
      <w:r>
        <w:rPr/>
        <w:t>season.</w:t>
      </w:r>
    </w:p>
    <w:p>
      <w:pPr>
        <w:pStyle w:val="BodyText"/>
      </w:pPr>
    </w:p>
    <w:p>
      <w:pPr>
        <w:pStyle w:val="Heading8"/>
        <w:rPr>
          <w:b w:val="0"/>
        </w:rPr>
      </w:pPr>
      <w:bookmarkStart w:name="Northeast District:" w:id="124"/>
      <w:bookmarkEnd w:id="124"/>
      <w:r>
        <w:rPr>
          <w:b w:val="0"/>
        </w:rPr>
      </w:r>
      <w:r>
        <w:rPr/>
        <w:t>Northeast District</w:t>
      </w:r>
      <w:r>
        <w:rPr>
          <w:b w:val="0"/>
        </w:rPr>
        <w:t>:</w:t>
      </w:r>
    </w:p>
    <w:p>
      <w:pPr>
        <w:pStyle w:val="BodyText"/>
        <w:ind w:left="1100" w:right="869" w:firstLine="67"/>
      </w:pPr>
      <w:r>
        <w:rPr/>
        <w:t>Zone 686. The northeast district extends from the Kettle River to the Idaho border, and south to the Spokane and Little Spokane rivers. It covers the remainder of the Colville NF and The Confederated Tribe of Colville Indians, as well as lands under the jurisdiction of Northeast DNR and the Spokane Tribes of Indians. This district is normally a bit wetter than the other districts since it extends into the western foothills of the Rocky Mountains. The southern portion around the lower elevations in the vicinity of Deer Park is slightly drier, windier section of this district. Lightning frequency is the greatest of any of the districts averaging 15-20 storm-days per season.</w:t>
      </w:r>
    </w:p>
    <w:p>
      <w:pPr>
        <w:pStyle w:val="BodyText"/>
      </w:pPr>
    </w:p>
    <w:p>
      <w:pPr>
        <w:pStyle w:val="Heading8"/>
        <w:ind w:left="1099"/>
        <w:rPr>
          <w:b w:val="0"/>
        </w:rPr>
      </w:pPr>
      <w:bookmarkStart w:name="Northern Columbia Basin District:" w:id="125"/>
      <w:bookmarkEnd w:id="125"/>
      <w:r>
        <w:rPr>
          <w:b w:val="0"/>
        </w:rPr>
      </w:r>
      <w:r>
        <w:rPr/>
        <w:t>Northern Columbia Basin District</w:t>
      </w:r>
      <w:r>
        <w:rPr>
          <w:b w:val="0"/>
        </w:rPr>
        <w:t>:</w:t>
      </w:r>
    </w:p>
    <w:p>
      <w:pPr>
        <w:pStyle w:val="BodyText"/>
        <w:ind w:left="1100" w:right="848"/>
      </w:pPr>
      <w:r>
        <w:rPr/>
        <w:t>This district has two zones. Zone 673, and A NEW Zone 674 (See map on next page). Pendleton weather office has responsibility for a large portion of Washington State DNR Southeast Region lands, Yakama IA, and DOE Hanford. The southern boundary is I-90 for that part of the Yakima Firing Center in Kittitas County then follows county lines west to east across Grant, Adams, and Whitman Counties. The western part of the district boundary is the Columbia River at the Grant County line. The northern boundary is the</w:t>
      </w:r>
    </w:p>
    <w:p>
      <w:pPr>
        <w:spacing w:after="0"/>
        <w:sectPr>
          <w:pgSz w:w="12240" w:h="15840"/>
          <w:pgMar w:header="0" w:footer="968" w:top="1280" w:bottom="1240" w:left="340" w:right="620"/>
        </w:sectPr>
      </w:pPr>
    </w:p>
    <w:p>
      <w:pPr>
        <w:pStyle w:val="BodyText"/>
        <w:spacing w:before="76"/>
        <w:ind w:left="1099" w:right="850"/>
      </w:pPr>
      <w:r>
        <w:rPr/>
        <w:t>same as previous years following the Columbia River to the eastern Ferry County then south across the northeast part of Lincoln County to Highway-2 near Davenport then east along the Spokane and Little Spokane rivers to Idaho state line. Fuels in this district consist of mainly grass and sage with areas of mixed conifer developing for the northeast portion of zone 674. Zone 673 includes the Waterville Plateau which contains low ridges and coulees and the lower Columbia basin. Most of the district is at fairly low elevations between 900 and 3,000 ft...the exception being Badger Mountain near Waterville at 4,221 feet. Zone 674 includes the Washington Palouse to the south…the west Plains near Spokane and Mica peak to the north. This zone is slightly higher and wetter than zone 673 with elevations from 900-100- feet near the Snake river with several buttes and small mountains above 3000 feet with the highest point at Mica Peak at over 5000 feet. Due to the relatively low elevations and locations, these are the warmest and driest districts. Winds in some areas can be very strong. Lightning activity is the least of the districts, averaging about 6 storm-days per</w:t>
      </w:r>
      <w:r>
        <w:rPr>
          <w:spacing w:val="-32"/>
        </w:rPr>
        <w:t> </w:t>
      </w:r>
      <w:r>
        <w:rPr/>
        <w:t>season.</w:t>
      </w:r>
    </w:p>
    <w:p>
      <w:pPr>
        <w:pStyle w:val="BodyText"/>
        <w:rPr>
          <w:sz w:val="26"/>
        </w:rPr>
      </w:pPr>
    </w:p>
    <w:p>
      <w:pPr>
        <w:pStyle w:val="BodyText"/>
        <w:rPr>
          <w:sz w:val="22"/>
        </w:rPr>
      </w:pPr>
    </w:p>
    <w:p>
      <w:pPr>
        <w:pStyle w:val="Heading8"/>
        <w:spacing w:before="1"/>
        <w:rPr>
          <w:b w:val="0"/>
        </w:rPr>
      </w:pPr>
      <w:bookmarkStart w:name="Northern and Central Idaho Panhandle Dis" w:id="126"/>
      <w:bookmarkEnd w:id="126"/>
      <w:r>
        <w:rPr>
          <w:b w:val="0"/>
        </w:rPr>
      </w:r>
      <w:r>
        <w:rPr/>
        <w:t>Northern and Central Idaho Panhandle District</w:t>
      </w:r>
      <w:r>
        <w:rPr>
          <w:b w:val="0"/>
        </w:rPr>
        <w:t>:</w:t>
      </w:r>
    </w:p>
    <w:p>
      <w:pPr>
        <w:pStyle w:val="BodyText"/>
        <w:ind w:left="1100" w:right="927"/>
      </w:pPr>
      <w:r>
        <w:rPr/>
        <w:t>This District is part of Region 1 and has one zone. Northern and Central Idaho Panhandle Zone 101 - Northern and Central Idaho Panhandle. This zone includes...Idaho Panhandle National Forests, Coeur d’Alene Tribes of Indians, and Idaho State protected lands in the following counties: Boundary, Bonner, Kootenai, Benewah, Shoshone, and the northern part of Latah County where a part of the St. Joe District resides. Zone 101 is broken into three (3) separate zones the Northern zone, Central zone and Southern zone. This area averages 12-15 thunderstorm days per season.</w:t>
      </w:r>
    </w:p>
    <w:p>
      <w:pPr>
        <w:spacing w:after="0"/>
        <w:sectPr>
          <w:pgSz w:w="12240" w:h="15840"/>
          <w:pgMar w:header="0" w:footer="968" w:top="1280" w:bottom="1240" w:left="340" w:right="620"/>
        </w:sectPr>
      </w:pPr>
    </w:p>
    <w:p>
      <w:pPr>
        <w:pStyle w:val="Heading8"/>
        <w:spacing w:before="75"/>
        <w:ind w:left="2739"/>
      </w:pPr>
      <w:bookmarkStart w:name="Spokane Fire Weather Forecast Zones in W" w:id="127"/>
      <w:bookmarkEnd w:id="127"/>
      <w:r>
        <w:rPr>
          <w:b w:val="0"/>
        </w:rPr>
      </w:r>
      <w:r>
        <w:rPr/>
        <w:t>Spokane Fire Weather Forecast Zones in Washington</w:t>
      </w:r>
    </w:p>
    <w:p>
      <w:pPr>
        <w:pStyle w:val="BodyText"/>
        <w:spacing w:before="4"/>
        <w:rPr>
          <w:b/>
          <w:sz w:val="20"/>
        </w:rPr>
      </w:pPr>
      <w:r>
        <w:rPr/>
        <w:pict>
          <v:group style="position:absolute;margin-left:73pt;margin-top:13.651172pt;width:468pt;height:386.8pt;mso-position-horizontal-relative:page;mso-position-vertical-relative:paragraph;z-index:1960;mso-wrap-distance-left:0;mso-wrap-distance-right:0" coordorigin="1460,273" coordsize="9360,7736">
            <v:shape style="position:absolute;left:1460;top:273;width:9360;height:7736" type="#_x0000_t75" stroked="false">
              <v:imagedata r:id="rId119" o:title=""/>
            </v:shape>
            <v:shape style="position:absolute;left:3105;top:1247;width:555;height:358" type="#_x0000_t75" stroked="false">
              <v:imagedata r:id="rId120" o:title=""/>
            </v:shape>
            <v:shape style="position:absolute;left:5352;top:1593;width:552;height:358" type="#_x0000_t75" stroked="false">
              <v:imagedata r:id="rId120" o:title=""/>
            </v:shape>
            <v:shape style="position:absolute;left:7713;top:2109;width:552;height:358" type="#_x0000_t75" stroked="false">
              <v:imagedata r:id="rId120" o:title=""/>
            </v:shape>
            <v:shape style="position:absolute;left:4212;top:2872;width:555;height:358" type="#_x0000_t75" stroked="false">
              <v:imagedata r:id="rId120" o:title=""/>
            </v:shape>
            <v:shape style="position:absolute;left:2191;top:3947;width:555;height:358" type="#_x0000_t75" stroked="false">
              <v:imagedata r:id="rId120" o:title=""/>
            </v:shape>
            <v:shape style="position:absolute;left:5112;top:5116;width:552;height:358" type="#_x0000_t75" stroked="false">
              <v:imagedata r:id="rId120" o:title=""/>
            </v:shape>
            <v:shape style="position:absolute;left:6988;top:5373;width:552;height:358" type="#_x0000_t75" stroked="false">
              <v:imagedata r:id="rId120" o:title=""/>
            </v:shape>
            <v:shape style="position:absolute;left:3105;top:1244;width:553;height:357" type="#_x0000_t202" filled="false" stroked="false">
              <v:textbox inset="0,0,0,0">
                <w:txbxContent>
                  <w:p>
                    <w:pPr>
                      <w:spacing w:line="357" w:lineRule="exact" w:before="0"/>
                      <w:ind w:left="0" w:right="0" w:firstLine="0"/>
                      <w:jc w:val="left"/>
                      <w:rPr>
                        <w:b/>
                        <w:sz w:val="32"/>
                      </w:rPr>
                    </w:pPr>
                    <w:r>
                      <w:rPr>
                        <w:b/>
                        <w:color w:val="FFC000"/>
                        <w:sz w:val="32"/>
                      </w:rPr>
                      <w:t>685</w:t>
                    </w:r>
                  </w:p>
                </w:txbxContent>
              </v:textbox>
              <w10:wrap type="none"/>
            </v:shape>
            <v:shape style="position:absolute;left:5352;top:1589;width:553;height:357" type="#_x0000_t202" filled="false" stroked="false">
              <v:textbox inset="0,0,0,0">
                <w:txbxContent>
                  <w:p>
                    <w:pPr>
                      <w:spacing w:line="357" w:lineRule="exact" w:before="0"/>
                      <w:ind w:left="0" w:right="0" w:firstLine="0"/>
                      <w:jc w:val="left"/>
                      <w:rPr>
                        <w:b/>
                        <w:sz w:val="32"/>
                      </w:rPr>
                    </w:pPr>
                    <w:r>
                      <w:rPr>
                        <w:b/>
                        <w:color w:val="FFC000"/>
                        <w:sz w:val="32"/>
                      </w:rPr>
                      <w:t>687</w:t>
                    </w:r>
                  </w:p>
                </w:txbxContent>
              </v:textbox>
              <w10:wrap type="none"/>
            </v:shape>
            <v:shape style="position:absolute;left:7713;top:2105;width:553;height:357" type="#_x0000_t202" filled="false" stroked="false">
              <v:textbox inset="0,0,0,0">
                <w:txbxContent>
                  <w:p>
                    <w:pPr>
                      <w:spacing w:line="357" w:lineRule="exact" w:before="0"/>
                      <w:ind w:left="0" w:right="0" w:firstLine="0"/>
                      <w:jc w:val="left"/>
                      <w:rPr>
                        <w:b/>
                        <w:sz w:val="32"/>
                      </w:rPr>
                    </w:pPr>
                    <w:r>
                      <w:rPr>
                        <w:b/>
                        <w:color w:val="FFC000"/>
                        <w:sz w:val="32"/>
                      </w:rPr>
                      <w:t>686</w:t>
                    </w:r>
                  </w:p>
                </w:txbxContent>
              </v:textbox>
              <w10:wrap type="none"/>
            </v:shape>
            <v:shape style="position:absolute;left:4212;top:2868;width:553;height:357" type="#_x0000_t202" filled="false" stroked="false">
              <v:textbox inset="0,0,0,0">
                <w:txbxContent>
                  <w:p>
                    <w:pPr>
                      <w:spacing w:line="357" w:lineRule="exact" w:before="0"/>
                      <w:ind w:left="0" w:right="0" w:firstLine="0"/>
                      <w:jc w:val="left"/>
                      <w:rPr>
                        <w:b/>
                        <w:sz w:val="32"/>
                      </w:rPr>
                    </w:pPr>
                    <w:r>
                      <w:rPr>
                        <w:b/>
                        <w:color w:val="FFC000"/>
                        <w:sz w:val="32"/>
                      </w:rPr>
                      <w:t>684</w:t>
                    </w:r>
                  </w:p>
                </w:txbxContent>
              </v:textbox>
              <w10:wrap type="none"/>
            </v:shape>
            <v:shape style="position:absolute;left:2191;top:3944;width:553;height:357" type="#_x0000_t202" filled="false" stroked="false">
              <v:textbox inset="0,0,0,0">
                <w:txbxContent>
                  <w:p>
                    <w:pPr>
                      <w:spacing w:line="357" w:lineRule="exact" w:before="0"/>
                      <w:ind w:left="0" w:right="0" w:firstLine="0"/>
                      <w:jc w:val="left"/>
                      <w:rPr>
                        <w:b/>
                        <w:sz w:val="32"/>
                      </w:rPr>
                    </w:pPr>
                    <w:r>
                      <w:rPr>
                        <w:b/>
                        <w:color w:val="FFC000"/>
                        <w:sz w:val="32"/>
                      </w:rPr>
                      <w:t>682</w:t>
                    </w:r>
                  </w:p>
                </w:txbxContent>
              </v:textbox>
              <w10:wrap type="none"/>
            </v:shape>
            <v:shape style="position:absolute;left:5112;top:5112;width:553;height:357" type="#_x0000_t202" filled="false" stroked="false">
              <v:textbox inset="0,0,0,0">
                <w:txbxContent>
                  <w:p>
                    <w:pPr>
                      <w:spacing w:line="357" w:lineRule="exact" w:before="0"/>
                      <w:ind w:left="0" w:right="0" w:firstLine="0"/>
                      <w:jc w:val="left"/>
                      <w:rPr>
                        <w:b/>
                        <w:sz w:val="32"/>
                      </w:rPr>
                    </w:pPr>
                    <w:r>
                      <w:rPr>
                        <w:b/>
                        <w:color w:val="FFC000"/>
                        <w:sz w:val="32"/>
                      </w:rPr>
                      <w:t>673</w:t>
                    </w:r>
                  </w:p>
                </w:txbxContent>
              </v:textbox>
              <w10:wrap type="none"/>
            </v:shape>
            <v:shape style="position:absolute;left:6988;top:5369;width:553;height:357" type="#_x0000_t202" filled="false" stroked="false">
              <v:textbox inset="0,0,0,0">
                <w:txbxContent>
                  <w:p>
                    <w:pPr>
                      <w:spacing w:line="357" w:lineRule="exact" w:before="0"/>
                      <w:ind w:left="0" w:right="0" w:firstLine="0"/>
                      <w:jc w:val="left"/>
                      <w:rPr>
                        <w:b/>
                        <w:sz w:val="32"/>
                      </w:rPr>
                    </w:pPr>
                    <w:r>
                      <w:rPr>
                        <w:b/>
                        <w:color w:val="FFC000"/>
                        <w:sz w:val="32"/>
                      </w:rPr>
                      <w:t>101</w:t>
                    </w:r>
                  </w:p>
                </w:txbxContent>
              </v:textbox>
              <w10:wrap type="none"/>
            </v:shape>
            <w10:wrap type="topAndBottom"/>
          </v:group>
        </w:pict>
      </w:r>
    </w:p>
    <w:p>
      <w:pPr>
        <w:spacing w:after="0"/>
        <w:rPr>
          <w:sz w:val="20"/>
        </w:rPr>
        <w:sectPr>
          <w:footerReference w:type="default" r:id="rId118"/>
          <w:pgSz w:w="12240" w:h="15840"/>
          <w:pgMar w:footer="968" w:header="0" w:top="1440" w:bottom="1160" w:left="340" w:right="620"/>
          <w:pgNumType w:start="78"/>
        </w:sectPr>
      </w:pPr>
    </w:p>
    <w:p>
      <w:pPr>
        <w:spacing w:before="75"/>
        <w:ind w:left="3279" w:right="0" w:firstLine="0"/>
        <w:jc w:val="left"/>
        <w:rPr>
          <w:b/>
          <w:sz w:val="24"/>
        </w:rPr>
      </w:pPr>
      <w:r>
        <w:rPr>
          <w:b/>
          <w:sz w:val="24"/>
        </w:rPr>
        <w:t>NWS Spokane NFDRS Station Index</w:t>
      </w:r>
    </w:p>
    <w:p>
      <w:pPr>
        <w:pStyle w:val="BodyText"/>
        <w:rPr>
          <w:b/>
          <w:sz w:val="20"/>
        </w:rPr>
      </w:pPr>
    </w:p>
    <w:p>
      <w:pPr>
        <w:pStyle w:val="BodyText"/>
        <w:spacing w:before="5"/>
        <w:rPr>
          <w:b/>
          <w:sz w:val="28"/>
        </w:rPr>
      </w:pPr>
    </w:p>
    <w:tbl>
      <w:tblPr>
        <w:tblW w:w="0" w:type="auto"/>
        <w:jc w:val="left"/>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2402"/>
        <w:gridCol w:w="777"/>
        <w:gridCol w:w="1269"/>
        <w:gridCol w:w="1135"/>
        <w:gridCol w:w="821"/>
        <w:gridCol w:w="1169"/>
        <w:gridCol w:w="759"/>
      </w:tblGrid>
      <w:tr>
        <w:trPr>
          <w:trHeight w:val="278" w:hRule="atLeast"/>
        </w:trPr>
        <w:tc>
          <w:tcPr>
            <w:tcW w:w="960" w:type="dxa"/>
            <w:tcBorders>
              <w:bottom w:val="thickThinMediumGap" w:sz="4" w:space="0" w:color="000000"/>
            </w:tcBorders>
            <w:shd w:val="clear" w:color="auto" w:fill="C1C1C1"/>
          </w:tcPr>
          <w:p>
            <w:pPr>
              <w:pStyle w:val="TableParagraph"/>
              <w:spacing w:line="259" w:lineRule="exact"/>
              <w:ind w:left="107"/>
              <w:rPr>
                <w:b/>
                <w:sz w:val="24"/>
              </w:rPr>
            </w:pPr>
            <w:r>
              <w:rPr>
                <w:b/>
                <w:sz w:val="24"/>
              </w:rPr>
              <w:t>ZONE</w:t>
            </w:r>
          </w:p>
        </w:tc>
        <w:tc>
          <w:tcPr>
            <w:tcW w:w="2402" w:type="dxa"/>
            <w:tcBorders>
              <w:bottom w:val="thickThinMediumGap" w:sz="4" w:space="0" w:color="000000"/>
            </w:tcBorders>
            <w:shd w:val="clear" w:color="auto" w:fill="C1C1C1"/>
          </w:tcPr>
          <w:p>
            <w:pPr>
              <w:pStyle w:val="TableParagraph"/>
              <w:spacing w:line="259" w:lineRule="exact"/>
              <w:ind w:left="107"/>
              <w:rPr>
                <w:b/>
                <w:sz w:val="24"/>
              </w:rPr>
            </w:pPr>
            <w:r>
              <w:rPr>
                <w:b/>
                <w:sz w:val="24"/>
              </w:rPr>
              <w:t>NAME</w:t>
            </w:r>
          </w:p>
        </w:tc>
        <w:tc>
          <w:tcPr>
            <w:tcW w:w="777" w:type="dxa"/>
            <w:tcBorders>
              <w:bottom w:val="thickThinMediumGap" w:sz="4" w:space="0" w:color="000000"/>
            </w:tcBorders>
            <w:shd w:val="clear" w:color="auto" w:fill="C1C1C1"/>
          </w:tcPr>
          <w:p>
            <w:pPr>
              <w:pStyle w:val="TableParagraph"/>
              <w:spacing w:line="259" w:lineRule="exact"/>
              <w:ind w:left="105"/>
              <w:rPr>
                <w:b/>
                <w:sz w:val="24"/>
              </w:rPr>
            </w:pPr>
            <w:r>
              <w:rPr>
                <w:b/>
                <w:sz w:val="24"/>
              </w:rPr>
              <w:t>Type</w:t>
            </w:r>
          </w:p>
        </w:tc>
        <w:tc>
          <w:tcPr>
            <w:tcW w:w="1269" w:type="dxa"/>
            <w:tcBorders>
              <w:bottom w:val="thickThinMediumGap" w:sz="4" w:space="0" w:color="000000"/>
            </w:tcBorders>
            <w:shd w:val="clear" w:color="auto" w:fill="C1C1C1"/>
          </w:tcPr>
          <w:p>
            <w:pPr>
              <w:pStyle w:val="TableParagraph"/>
              <w:spacing w:line="259" w:lineRule="exact"/>
              <w:ind w:left="108"/>
              <w:rPr>
                <w:b/>
                <w:sz w:val="24"/>
              </w:rPr>
            </w:pPr>
            <w:r>
              <w:rPr>
                <w:b/>
                <w:sz w:val="24"/>
              </w:rPr>
              <w:t>NUMBER</w:t>
            </w:r>
          </w:p>
        </w:tc>
        <w:tc>
          <w:tcPr>
            <w:tcW w:w="1135" w:type="dxa"/>
            <w:tcBorders>
              <w:bottom w:val="thickThinMediumGap" w:sz="4" w:space="0" w:color="000000"/>
            </w:tcBorders>
            <w:shd w:val="clear" w:color="auto" w:fill="C1C1C1"/>
          </w:tcPr>
          <w:p>
            <w:pPr>
              <w:pStyle w:val="TableParagraph"/>
              <w:spacing w:line="259" w:lineRule="exact"/>
              <w:ind w:left="109"/>
              <w:rPr>
                <w:b/>
                <w:sz w:val="24"/>
              </w:rPr>
            </w:pPr>
            <w:r>
              <w:rPr>
                <w:b/>
                <w:sz w:val="24"/>
              </w:rPr>
              <w:t>OWNER</w:t>
            </w:r>
          </w:p>
        </w:tc>
        <w:tc>
          <w:tcPr>
            <w:tcW w:w="821" w:type="dxa"/>
            <w:tcBorders>
              <w:bottom w:val="thickThinMediumGap" w:sz="4" w:space="0" w:color="000000"/>
            </w:tcBorders>
            <w:shd w:val="clear" w:color="auto" w:fill="C1C1C1"/>
          </w:tcPr>
          <w:p>
            <w:pPr>
              <w:pStyle w:val="TableParagraph"/>
              <w:spacing w:line="259" w:lineRule="exact"/>
              <w:ind w:left="109"/>
              <w:rPr>
                <w:b/>
                <w:sz w:val="24"/>
              </w:rPr>
            </w:pPr>
            <w:r>
              <w:rPr>
                <w:b/>
                <w:sz w:val="24"/>
              </w:rPr>
              <w:t>LAT</w:t>
            </w:r>
          </w:p>
        </w:tc>
        <w:tc>
          <w:tcPr>
            <w:tcW w:w="1169" w:type="dxa"/>
            <w:tcBorders>
              <w:bottom w:val="thickThinMediumGap" w:sz="4" w:space="0" w:color="000000"/>
            </w:tcBorders>
            <w:shd w:val="clear" w:color="auto" w:fill="C1C1C1"/>
          </w:tcPr>
          <w:p>
            <w:pPr>
              <w:pStyle w:val="TableParagraph"/>
              <w:spacing w:line="259" w:lineRule="exact"/>
              <w:ind w:left="107"/>
              <w:rPr>
                <w:b/>
                <w:sz w:val="24"/>
              </w:rPr>
            </w:pPr>
            <w:r>
              <w:rPr>
                <w:b/>
                <w:sz w:val="24"/>
              </w:rPr>
              <w:t>LON</w:t>
            </w:r>
          </w:p>
        </w:tc>
        <w:tc>
          <w:tcPr>
            <w:tcW w:w="759" w:type="dxa"/>
            <w:tcBorders>
              <w:bottom w:val="thickThinMediumGap" w:sz="4" w:space="0" w:color="000000"/>
            </w:tcBorders>
            <w:shd w:val="clear" w:color="auto" w:fill="C1C1C1"/>
          </w:tcPr>
          <w:p>
            <w:pPr>
              <w:pStyle w:val="TableParagraph"/>
              <w:spacing w:line="259" w:lineRule="exact"/>
              <w:ind w:left="111"/>
              <w:rPr>
                <w:b/>
                <w:sz w:val="24"/>
              </w:rPr>
            </w:pPr>
            <w:r>
              <w:rPr>
                <w:b/>
                <w:sz w:val="24"/>
              </w:rPr>
              <w:t>ELEV</w:t>
            </w:r>
          </w:p>
        </w:tc>
      </w:tr>
      <w:tr>
        <w:trPr>
          <w:trHeight w:val="254" w:hRule="atLeast"/>
        </w:trPr>
        <w:tc>
          <w:tcPr>
            <w:tcW w:w="960" w:type="dxa"/>
            <w:tcBorders>
              <w:top w:val="thinThickMediumGap" w:sz="4" w:space="0" w:color="000000"/>
            </w:tcBorders>
          </w:tcPr>
          <w:p>
            <w:pPr>
              <w:pStyle w:val="TableParagraph"/>
              <w:rPr>
                <w:rFonts w:ascii="Times New Roman"/>
                <w:sz w:val="18"/>
              </w:rPr>
            </w:pPr>
          </w:p>
        </w:tc>
        <w:tc>
          <w:tcPr>
            <w:tcW w:w="2402" w:type="dxa"/>
            <w:tcBorders>
              <w:top w:val="thinThickMediumGap" w:sz="4" w:space="0" w:color="000000"/>
            </w:tcBorders>
          </w:tcPr>
          <w:p>
            <w:pPr>
              <w:pStyle w:val="TableParagraph"/>
              <w:rPr>
                <w:rFonts w:ascii="Times New Roman"/>
                <w:sz w:val="18"/>
              </w:rPr>
            </w:pPr>
          </w:p>
        </w:tc>
        <w:tc>
          <w:tcPr>
            <w:tcW w:w="777" w:type="dxa"/>
            <w:tcBorders>
              <w:top w:val="thinThickMediumGap" w:sz="4" w:space="0" w:color="000000"/>
            </w:tcBorders>
          </w:tcPr>
          <w:p>
            <w:pPr>
              <w:pStyle w:val="TableParagraph"/>
              <w:rPr>
                <w:rFonts w:ascii="Times New Roman"/>
                <w:sz w:val="18"/>
              </w:rPr>
            </w:pPr>
          </w:p>
        </w:tc>
        <w:tc>
          <w:tcPr>
            <w:tcW w:w="1269" w:type="dxa"/>
            <w:tcBorders>
              <w:top w:val="thinThickMediumGap" w:sz="4" w:space="0" w:color="000000"/>
            </w:tcBorders>
          </w:tcPr>
          <w:p>
            <w:pPr>
              <w:pStyle w:val="TableParagraph"/>
              <w:rPr>
                <w:rFonts w:ascii="Times New Roman"/>
                <w:sz w:val="18"/>
              </w:rPr>
            </w:pPr>
          </w:p>
        </w:tc>
        <w:tc>
          <w:tcPr>
            <w:tcW w:w="1135" w:type="dxa"/>
            <w:tcBorders>
              <w:top w:val="thinThickMediumGap" w:sz="4" w:space="0" w:color="000000"/>
            </w:tcBorders>
          </w:tcPr>
          <w:p>
            <w:pPr>
              <w:pStyle w:val="TableParagraph"/>
              <w:rPr>
                <w:rFonts w:ascii="Times New Roman"/>
                <w:sz w:val="18"/>
              </w:rPr>
            </w:pPr>
          </w:p>
        </w:tc>
        <w:tc>
          <w:tcPr>
            <w:tcW w:w="821" w:type="dxa"/>
            <w:tcBorders>
              <w:top w:val="thinThickMediumGap" w:sz="4" w:space="0" w:color="000000"/>
            </w:tcBorders>
          </w:tcPr>
          <w:p>
            <w:pPr>
              <w:pStyle w:val="TableParagraph"/>
              <w:rPr>
                <w:rFonts w:ascii="Times New Roman"/>
                <w:sz w:val="18"/>
              </w:rPr>
            </w:pPr>
          </w:p>
        </w:tc>
        <w:tc>
          <w:tcPr>
            <w:tcW w:w="1169" w:type="dxa"/>
            <w:tcBorders>
              <w:top w:val="thinThickMediumGap" w:sz="4" w:space="0" w:color="000000"/>
            </w:tcBorders>
          </w:tcPr>
          <w:p>
            <w:pPr>
              <w:pStyle w:val="TableParagraph"/>
              <w:rPr>
                <w:rFonts w:ascii="Times New Roman"/>
                <w:sz w:val="18"/>
              </w:rPr>
            </w:pPr>
          </w:p>
        </w:tc>
        <w:tc>
          <w:tcPr>
            <w:tcW w:w="759" w:type="dxa"/>
            <w:tcBorders>
              <w:top w:val="thinThickMediumGap" w:sz="4" w:space="0" w:color="000000"/>
            </w:tcBorders>
          </w:tcPr>
          <w:p>
            <w:pPr>
              <w:pStyle w:val="TableParagraph"/>
              <w:rPr>
                <w:rFonts w:ascii="Times New Roman"/>
                <w:sz w:val="18"/>
              </w:rPr>
            </w:pP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673</w:t>
            </w:r>
          </w:p>
        </w:tc>
        <w:tc>
          <w:tcPr>
            <w:tcW w:w="2402" w:type="dxa"/>
          </w:tcPr>
          <w:p>
            <w:pPr>
              <w:pStyle w:val="TableParagraph"/>
              <w:spacing w:before="4"/>
              <w:rPr>
                <w:b/>
                <w:sz w:val="23"/>
              </w:rPr>
            </w:pPr>
          </w:p>
          <w:p>
            <w:pPr>
              <w:pStyle w:val="TableParagraph"/>
              <w:spacing w:line="263" w:lineRule="exact"/>
              <w:ind w:left="107"/>
              <w:rPr>
                <w:sz w:val="24"/>
              </w:rPr>
            </w:pPr>
            <w:r>
              <w:rPr>
                <w:sz w:val="24"/>
              </w:rPr>
              <w:t>Escure</w:t>
            </w:r>
          </w:p>
        </w:tc>
        <w:tc>
          <w:tcPr>
            <w:tcW w:w="777" w:type="dxa"/>
          </w:tcPr>
          <w:p>
            <w:pPr>
              <w:pStyle w:val="TableParagraph"/>
              <w:spacing w:before="4"/>
              <w:rPr>
                <w:b/>
                <w:sz w:val="23"/>
              </w:rPr>
            </w:pPr>
          </w:p>
          <w:p>
            <w:pPr>
              <w:pStyle w:val="TableParagraph"/>
              <w:spacing w:line="263" w:lineRule="exact"/>
              <w:ind w:left="105"/>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453601</w:t>
            </w:r>
          </w:p>
        </w:tc>
        <w:tc>
          <w:tcPr>
            <w:tcW w:w="1135" w:type="dxa"/>
          </w:tcPr>
          <w:p>
            <w:pPr>
              <w:pStyle w:val="TableParagraph"/>
              <w:spacing w:before="4"/>
              <w:rPr>
                <w:b/>
                <w:sz w:val="23"/>
              </w:rPr>
            </w:pPr>
          </w:p>
          <w:p>
            <w:pPr>
              <w:pStyle w:val="TableParagraph"/>
              <w:spacing w:line="263" w:lineRule="exact"/>
              <w:ind w:left="109"/>
              <w:rPr>
                <w:sz w:val="24"/>
              </w:rPr>
            </w:pPr>
            <w:r>
              <w:rPr>
                <w:sz w:val="24"/>
              </w:rPr>
              <w:t>BLM</w:t>
            </w:r>
          </w:p>
        </w:tc>
        <w:tc>
          <w:tcPr>
            <w:tcW w:w="821" w:type="dxa"/>
          </w:tcPr>
          <w:p>
            <w:pPr>
              <w:pStyle w:val="TableParagraph"/>
              <w:spacing w:before="4"/>
              <w:rPr>
                <w:b/>
                <w:sz w:val="23"/>
              </w:rPr>
            </w:pPr>
          </w:p>
          <w:p>
            <w:pPr>
              <w:pStyle w:val="TableParagraph"/>
              <w:spacing w:line="263" w:lineRule="exact"/>
              <w:ind w:left="109"/>
              <w:rPr>
                <w:sz w:val="24"/>
              </w:rPr>
            </w:pPr>
            <w:r>
              <w:rPr>
                <w:sz w:val="24"/>
              </w:rPr>
              <w:t>47.07</w:t>
            </w:r>
          </w:p>
        </w:tc>
        <w:tc>
          <w:tcPr>
            <w:tcW w:w="1169" w:type="dxa"/>
          </w:tcPr>
          <w:p>
            <w:pPr>
              <w:pStyle w:val="TableParagraph"/>
              <w:spacing w:before="7"/>
              <w:rPr>
                <w:b/>
                <w:sz w:val="23"/>
              </w:rPr>
            </w:pPr>
          </w:p>
          <w:p>
            <w:pPr>
              <w:pStyle w:val="TableParagraph"/>
              <w:spacing w:line="260" w:lineRule="exact"/>
              <w:ind w:left="107"/>
              <w:rPr>
                <w:sz w:val="24"/>
              </w:rPr>
            </w:pPr>
            <w:r>
              <w:rPr>
                <w:sz w:val="24"/>
              </w:rPr>
              <w:t>- 117.98</w:t>
            </w:r>
          </w:p>
        </w:tc>
        <w:tc>
          <w:tcPr>
            <w:tcW w:w="759" w:type="dxa"/>
          </w:tcPr>
          <w:p>
            <w:pPr>
              <w:pStyle w:val="TableParagraph"/>
              <w:spacing w:before="4"/>
              <w:rPr>
                <w:b/>
                <w:sz w:val="23"/>
              </w:rPr>
            </w:pPr>
          </w:p>
          <w:p>
            <w:pPr>
              <w:pStyle w:val="TableParagraph"/>
              <w:spacing w:line="263" w:lineRule="exact"/>
              <w:ind w:left="111"/>
              <w:rPr>
                <w:sz w:val="24"/>
              </w:rPr>
            </w:pPr>
            <w:r>
              <w:rPr>
                <w:sz w:val="24"/>
              </w:rPr>
              <w:t>1725</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673</w:t>
            </w:r>
          </w:p>
        </w:tc>
        <w:tc>
          <w:tcPr>
            <w:tcW w:w="2402" w:type="dxa"/>
          </w:tcPr>
          <w:p>
            <w:pPr>
              <w:pStyle w:val="TableParagraph"/>
              <w:spacing w:before="4"/>
              <w:rPr>
                <w:b/>
                <w:sz w:val="23"/>
              </w:rPr>
            </w:pPr>
          </w:p>
          <w:p>
            <w:pPr>
              <w:pStyle w:val="TableParagraph"/>
              <w:spacing w:line="263" w:lineRule="exact"/>
              <w:ind w:left="107"/>
              <w:rPr>
                <w:sz w:val="24"/>
              </w:rPr>
            </w:pPr>
            <w:r>
              <w:rPr>
                <w:sz w:val="24"/>
              </w:rPr>
              <w:t>Columbia NWR</w:t>
            </w:r>
          </w:p>
        </w:tc>
        <w:tc>
          <w:tcPr>
            <w:tcW w:w="777" w:type="dxa"/>
          </w:tcPr>
          <w:p>
            <w:pPr>
              <w:pStyle w:val="TableParagraph"/>
              <w:spacing w:before="4"/>
              <w:rPr>
                <w:b/>
                <w:sz w:val="23"/>
              </w:rPr>
            </w:pPr>
          </w:p>
          <w:p>
            <w:pPr>
              <w:pStyle w:val="TableParagraph"/>
              <w:spacing w:line="263" w:lineRule="exact"/>
              <w:ind w:left="105"/>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453102</w:t>
            </w:r>
          </w:p>
        </w:tc>
        <w:tc>
          <w:tcPr>
            <w:tcW w:w="1135" w:type="dxa"/>
          </w:tcPr>
          <w:p>
            <w:pPr>
              <w:pStyle w:val="TableParagraph"/>
              <w:spacing w:before="4"/>
              <w:rPr>
                <w:b/>
                <w:sz w:val="23"/>
              </w:rPr>
            </w:pPr>
          </w:p>
          <w:p>
            <w:pPr>
              <w:pStyle w:val="TableParagraph"/>
              <w:spacing w:line="263" w:lineRule="exact"/>
              <w:ind w:left="109"/>
              <w:rPr>
                <w:sz w:val="24"/>
              </w:rPr>
            </w:pPr>
            <w:r>
              <w:rPr>
                <w:sz w:val="24"/>
              </w:rPr>
              <w:t>FWS</w:t>
            </w:r>
          </w:p>
        </w:tc>
        <w:tc>
          <w:tcPr>
            <w:tcW w:w="821" w:type="dxa"/>
          </w:tcPr>
          <w:p>
            <w:pPr>
              <w:pStyle w:val="TableParagraph"/>
              <w:spacing w:before="4"/>
              <w:rPr>
                <w:b/>
                <w:sz w:val="23"/>
              </w:rPr>
            </w:pPr>
          </w:p>
          <w:p>
            <w:pPr>
              <w:pStyle w:val="TableParagraph"/>
              <w:spacing w:line="263" w:lineRule="exact"/>
              <w:ind w:left="109"/>
              <w:rPr>
                <w:sz w:val="24"/>
              </w:rPr>
            </w:pPr>
            <w:r>
              <w:rPr>
                <w:sz w:val="24"/>
              </w:rPr>
              <w:t>46.87</w:t>
            </w:r>
          </w:p>
        </w:tc>
        <w:tc>
          <w:tcPr>
            <w:tcW w:w="1169" w:type="dxa"/>
          </w:tcPr>
          <w:p>
            <w:pPr>
              <w:pStyle w:val="TableParagraph"/>
              <w:spacing w:before="7"/>
              <w:rPr>
                <w:b/>
                <w:sz w:val="23"/>
              </w:rPr>
            </w:pPr>
          </w:p>
          <w:p>
            <w:pPr>
              <w:pStyle w:val="TableParagraph"/>
              <w:spacing w:line="260" w:lineRule="exact"/>
              <w:ind w:left="107"/>
              <w:rPr>
                <w:sz w:val="24"/>
              </w:rPr>
            </w:pPr>
            <w:r>
              <w:rPr>
                <w:sz w:val="24"/>
              </w:rPr>
              <w:t>- 119.33</w:t>
            </w:r>
          </w:p>
        </w:tc>
        <w:tc>
          <w:tcPr>
            <w:tcW w:w="759" w:type="dxa"/>
          </w:tcPr>
          <w:p>
            <w:pPr>
              <w:pStyle w:val="TableParagraph"/>
              <w:spacing w:before="4"/>
              <w:rPr>
                <w:b/>
                <w:sz w:val="23"/>
              </w:rPr>
            </w:pPr>
          </w:p>
          <w:p>
            <w:pPr>
              <w:pStyle w:val="TableParagraph"/>
              <w:spacing w:line="263" w:lineRule="exact"/>
              <w:ind w:left="111"/>
              <w:rPr>
                <w:sz w:val="24"/>
              </w:rPr>
            </w:pPr>
            <w:r>
              <w:rPr>
                <w:sz w:val="24"/>
              </w:rPr>
              <w:t>890</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673</w:t>
            </w:r>
          </w:p>
        </w:tc>
        <w:tc>
          <w:tcPr>
            <w:tcW w:w="2402" w:type="dxa"/>
          </w:tcPr>
          <w:p>
            <w:pPr>
              <w:pStyle w:val="TableParagraph"/>
              <w:spacing w:before="4"/>
              <w:rPr>
                <w:b/>
                <w:sz w:val="23"/>
              </w:rPr>
            </w:pPr>
          </w:p>
          <w:p>
            <w:pPr>
              <w:pStyle w:val="TableParagraph"/>
              <w:spacing w:line="263" w:lineRule="exact"/>
              <w:ind w:left="107"/>
              <w:rPr>
                <w:sz w:val="24"/>
              </w:rPr>
            </w:pPr>
            <w:r>
              <w:rPr>
                <w:sz w:val="24"/>
              </w:rPr>
              <w:t>Spring Canyon</w:t>
            </w:r>
          </w:p>
        </w:tc>
        <w:tc>
          <w:tcPr>
            <w:tcW w:w="777" w:type="dxa"/>
          </w:tcPr>
          <w:p>
            <w:pPr>
              <w:pStyle w:val="TableParagraph"/>
              <w:spacing w:before="4"/>
              <w:rPr>
                <w:b/>
                <w:sz w:val="23"/>
              </w:rPr>
            </w:pPr>
          </w:p>
          <w:p>
            <w:pPr>
              <w:pStyle w:val="TableParagraph"/>
              <w:spacing w:line="263" w:lineRule="exact"/>
              <w:ind w:left="105"/>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453002</w:t>
            </w:r>
          </w:p>
        </w:tc>
        <w:tc>
          <w:tcPr>
            <w:tcW w:w="1135" w:type="dxa"/>
          </w:tcPr>
          <w:p>
            <w:pPr>
              <w:pStyle w:val="TableParagraph"/>
              <w:spacing w:before="4"/>
              <w:rPr>
                <w:b/>
                <w:sz w:val="23"/>
              </w:rPr>
            </w:pPr>
          </w:p>
          <w:p>
            <w:pPr>
              <w:pStyle w:val="TableParagraph"/>
              <w:spacing w:line="263" w:lineRule="exact"/>
              <w:ind w:left="109"/>
              <w:rPr>
                <w:sz w:val="24"/>
              </w:rPr>
            </w:pPr>
            <w:r>
              <w:rPr>
                <w:sz w:val="24"/>
              </w:rPr>
              <w:t>NPS</w:t>
            </w:r>
          </w:p>
        </w:tc>
        <w:tc>
          <w:tcPr>
            <w:tcW w:w="821" w:type="dxa"/>
          </w:tcPr>
          <w:p>
            <w:pPr>
              <w:pStyle w:val="TableParagraph"/>
              <w:spacing w:before="4"/>
              <w:rPr>
                <w:b/>
                <w:sz w:val="23"/>
              </w:rPr>
            </w:pPr>
          </w:p>
          <w:p>
            <w:pPr>
              <w:pStyle w:val="TableParagraph"/>
              <w:spacing w:line="263" w:lineRule="exact"/>
              <w:ind w:left="109"/>
              <w:rPr>
                <w:sz w:val="24"/>
              </w:rPr>
            </w:pPr>
            <w:r>
              <w:rPr>
                <w:sz w:val="24"/>
              </w:rPr>
              <w:t>47.93</w:t>
            </w:r>
          </w:p>
        </w:tc>
        <w:tc>
          <w:tcPr>
            <w:tcW w:w="1169" w:type="dxa"/>
          </w:tcPr>
          <w:p>
            <w:pPr>
              <w:pStyle w:val="TableParagraph"/>
              <w:spacing w:before="7"/>
              <w:rPr>
                <w:b/>
                <w:sz w:val="23"/>
              </w:rPr>
            </w:pPr>
          </w:p>
          <w:p>
            <w:pPr>
              <w:pStyle w:val="TableParagraph"/>
              <w:spacing w:line="260" w:lineRule="exact"/>
              <w:ind w:left="107"/>
              <w:rPr>
                <w:sz w:val="24"/>
              </w:rPr>
            </w:pPr>
            <w:r>
              <w:rPr>
                <w:sz w:val="24"/>
              </w:rPr>
              <w:t>- 118.93</w:t>
            </w:r>
          </w:p>
        </w:tc>
        <w:tc>
          <w:tcPr>
            <w:tcW w:w="759" w:type="dxa"/>
          </w:tcPr>
          <w:p>
            <w:pPr>
              <w:pStyle w:val="TableParagraph"/>
              <w:spacing w:before="4"/>
              <w:rPr>
                <w:b/>
                <w:sz w:val="23"/>
              </w:rPr>
            </w:pPr>
          </w:p>
          <w:p>
            <w:pPr>
              <w:pStyle w:val="TableParagraph"/>
              <w:spacing w:line="263" w:lineRule="exact"/>
              <w:ind w:left="111"/>
              <w:rPr>
                <w:sz w:val="24"/>
              </w:rPr>
            </w:pPr>
            <w:r>
              <w:rPr>
                <w:sz w:val="24"/>
              </w:rPr>
              <w:t>1340</w:t>
            </w:r>
          </w:p>
        </w:tc>
      </w:tr>
      <w:tr>
        <w:trPr>
          <w:trHeight w:val="554" w:hRule="atLeast"/>
        </w:trPr>
        <w:tc>
          <w:tcPr>
            <w:tcW w:w="960" w:type="dxa"/>
          </w:tcPr>
          <w:p>
            <w:pPr>
              <w:pStyle w:val="TableParagraph"/>
              <w:spacing w:before="7"/>
              <w:rPr>
                <w:b/>
                <w:sz w:val="23"/>
              </w:rPr>
            </w:pPr>
          </w:p>
          <w:p>
            <w:pPr>
              <w:pStyle w:val="TableParagraph"/>
              <w:spacing w:line="263" w:lineRule="exact"/>
              <w:ind w:left="107"/>
              <w:rPr>
                <w:sz w:val="24"/>
              </w:rPr>
            </w:pPr>
            <w:r>
              <w:rPr>
                <w:sz w:val="24"/>
              </w:rPr>
              <w:t>673</w:t>
            </w:r>
          </w:p>
        </w:tc>
        <w:tc>
          <w:tcPr>
            <w:tcW w:w="2402" w:type="dxa"/>
          </w:tcPr>
          <w:p>
            <w:pPr>
              <w:pStyle w:val="TableParagraph"/>
              <w:spacing w:before="7"/>
              <w:rPr>
                <w:b/>
                <w:sz w:val="23"/>
              </w:rPr>
            </w:pPr>
          </w:p>
          <w:p>
            <w:pPr>
              <w:pStyle w:val="TableParagraph"/>
              <w:spacing w:line="263" w:lineRule="exact"/>
              <w:ind w:left="107"/>
              <w:rPr>
                <w:sz w:val="24"/>
              </w:rPr>
            </w:pPr>
            <w:r>
              <w:rPr>
                <w:sz w:val="24"/>
              </w:rPr>
              <w:t>Saddle Mtn</w:t>
            </w:r>
          </w:p>
        </w:tc>
        <w:tc>
          <w:tcPr>
            <w:tcW w:w="777" w:type="dxa"/>
          </w:tcPr>
          <w:p>
            <w:pPr>
              <w:pStyle w:val="TableParagraph"/>
              <w:spacing w:before="7"/>
              <w:rPr>
                <w:b/>
                <w:sz w:val="23"/>
              </w:rPr>
            </w:pPr>
          </w:p>
          <w:p>
            <w:pPr>
              <w:pStyle w:val="TableParagraph"/>
              <w:spacing w:line="263" w:lineRule="exact"/>
              <w:ind w:left="105"/>
              <w:rPr>
                <w:sz w:val="24"/>
              </w:rPr>
            </w:pPr>
            <w:r>
              <w:rPr>
                <w:w w:val="98"/>
                <w:sz w:val="24"/>
              </w:rPr>
              <w:t>R</w:t>
            </w:r>
          </w:p>
        </w:tc>
        <w:tc>
          <w:tcPr>
            <w:tcW w:w="1269" w:type="dxa"/>
          </w:tcPr>
          <w:p>
            <w:pPr>
              <w:pStyle w:val="TableParagraph"/>
              <w:spacing w:before="7"/>
              <w:rPr>
                <w:b/>
                <w:sz w:val="23"/>
              </w:rPr>
            </w:pPr>
          </w:p>
          <w:p>
            <w:pPr>
              <w:pStyle w:val="TableParagraph"/>
              <w:spacing w:line="263" w:lineRule="exact"/>
              <w:ind w:left="108"/>
              <w:rPr>
                <w:sz w:val="24"/>
              </w:rPr>
            </w:pPr>
            <w:r>
              <w:rPr>
                <w:sz w:val="24"/>
              </w:rPr>
              <w:t>452701</w:t>
            </w:r>
          </w:p>
        </w:tc>
        <w:tc>
          <w:tcPr>
            <w:tcW w:w="1135" w:type="dxa"/>
          </w:tcPr>
          <w:p>
            <w:pPr>
              <w:pStyle w:val="TableParagraph"/>
              <w:spacing w:before="7"/>
              <w:rPr>
                <w:b/>
                <w:sz w:val="23"/>
              </w:rPr>
            </w:pPr>
          </w:p>
          <w:p>
            <w:pPr>
              <w:pStyle w:val="TableParagraph"/>
              <w:spacing w:line="263" w:lineRule="exact"/>
              <w:ind w:left="109"/>
              <w:rPr>
                <w:sz w:val="24"/>
              </w:rPr>
            </w:pPr>
            <w:r>
              <w:rPr>
                <w:sz w:val="24"/>
              </w:rPr>
              <w:t>FWS</w:t>
            </w:r>
          </w:p>
        </w:tc>
        <w:tc>
          <w:tcPr>
            <w:tcW w:w="821" w:type="dxa"/>
          </w:tcPr>
          <w:p>
            <w:pPr>
              <w:pStyle w:val="TableParagraph"/>
              <w:spacing w:before="7"/>
              <w:rPr>
                <w:b/>
                <w:sz w:val="23"/>
              </w:rPr>
            </w:pPr>
          </w:p>
          <w:p>
            <w:pPr>
              <w:pStyle w:val="TableParagraph"/>
              <w:spacing w:line="263" w:lineRule="exact"/>
              <w:ind w:left="109"/>
              <w:rPr>
                <w:sz w:val="24"/>
              </w:rPr>
            </w:pPr>
            <w:r>
              <w:rPr>
                <w:sz w:val="24"/>
              </w:rPr>
              <w:t>46.69</w:t>
            </w:r>
          </w:p>
        </w:tc>
        <w:tc>
          <w:tcPr>
            <w:tcW w:w="1169" w:type="dxa"/>
          </w:tcPr>
          <w:p>
            <w:pPr>
              <w:pStyle w:val="TableParagraph"/>
              <w:spacing w:before="7"/>
              <w:rPr>
                <w:b/>
                <w:sz w:val="23"/>
              </w:rPr>
            </w:pPr>
          </w:p>
          <w:p>
            <w:pPr>
              <w:pStyle w:val="TableParagraph"/>
              <w:spacing w:line="263" w:lineRule="exact"/>
              <w:ind w:left="107"/>
              <w:rPr>
                <w:sz w:val="24"/>
              </w:rPr>
            </w:pPr>
            <w:r>
              <w:rPr>
                <w:sz w:val="24"/>
              </w:rPr>
              <w:t>- 119.69</w:t>
            </w:r>
          </w:p>
        </w:tc>
        <w:tc>
          <w:tcPr>
            <w:tcW w:w="759" w:type="dxa"/>
          </w:tcPr>
          <w:p>
            <w:pPr>
              <w:pStyle w:val="TableParagraph"/>
              <w:spacing w:before="7"/>
              <w:rPr>
                <w:b/>
                <w:sz w:val="23"/>
              </w:rPr>
            </w:pPr>
          </w:p>
          <w:p>
            <w:pPr>
              <w:pStyle w:val="TableParagraph"/>
              <w:spacing w:line="263" w:lineRule="exact"/>
              <w:ind w:left="111"/>
              <w:rPr>
                <w:sz w:val="24"/>
              </w:rPr>
            </w:pPr>
            <w:r>
              <w:rPr>
                <w:sz w:val="24"/>
              </w:rPr>
              <w:t>650</w:t>
            </w:r>
          </w:p>
        </w:tc>
      </w:tr>
    </w:tbl>
    <w:p>
      <w:pPr>
        <w:pStyle w:val="BodyText"/>
        <w:rPr>
          <w:b/>
        </w:rPr>
      </w:pPr>
    </w:p>
    <w:tbl>
      <w:tblPr>
        <w:tblW w:w="0" w:type="auto"/>
        <w:jc w:val="left"/>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2402"/>
        <w:gridCol w:w="777"/>
        <w:gridCol w:w="1269"/>
        <w:gridCol w:w="1135"/>
        <w:gridCol w:w="821"/>
        <w:gridCol w:w="1169"/>
        <w:gridCol w:w="759"/>
      </w:tblGrid>
      <w:tr>
        <w:trPr>
          <w:trHeight w:val="554" w:hRule="atLeast"/>
        </w:trPr>
        <w:tc>
          <w:tcPr>
            <w:tcW w:w="960" w:type="dxa"/>
          </w:tcPr>
          <w:p>
            <w:pPr>
              <w:pStyle w:val="TableParagraph"/>
              <w:spacing w:before="7"/>
              <w:rPr>
                <w:b/>
                <w:sz w:val="23"/>
              </w:rPr>
            </w:pPr>
          </w:p>
          <w:p>
            <w:pPr>
              <w:pStyle w:val="TableParagraph"/>
              <w:spacing w:line="263" w:lineRule="exact"/>
              <w:ind w:left="107"/>
              <w:rPr>
                <w:sz w:val="24"/>
              </w:rPr>
            </w:pPr>
            <w:r>
              <w:rPr>
                <w:sz w:val="24"/>
              </w:rPr>
              <w:t>673</w:t>
            </w:r>
          </w:p>
        </w:tc>
        <w:tc>
          <w:tcPr>
            <w:tcW w:w="2402" w:type="dxa"/>
          </w:tcPr>
          <w:p>
            <w:pPr>
              <w:pStyle w:val="TableParagraph"/>
              <w:spacing w:before="7"/>
              <w:rPr>
                <w:b/>
                <w:sz w:val="23"/>
              </w:rPr>
            </w:pPr>
          </w:p>
          <w:p>
            <w:pPr>
              <w:pStyle w:val="TableParagraph"/>
              <w:spacing w:line="263" w:lineRule="exact"/>
              <w:ind w:left="107"/>
              <w:rPr>
                <w:sz w:val="24"/>
              </w:rPr>
            </w:pPr>
            <w:r>
              <w:rPr>
                <w:sz w:val="24"/>
              </w:rPr>
              <w:t>Douglas</w:t>
            </w:r>
          </w:p>
        </w:tc>
        <w:tc>
          <w:tcPr>
            <w:tcW w:w="777" w:type="dxa"/>
          </w:tcPr>
          <w:p>
            <w:pPr>
              <w:pStyle w:val="TableParagraph"/>
              <w:spacing w:before="7"/>
              <w:rPr>
                <w:b/>
                <w:sz w:val="23"/>
              </w:rPr>
            </w:pPr>
          </w:p>
          <w:p>
            <w:pPr>
              <w:pStyle w:val="TableParagraph"/>
              <w:spacing w:line="263" w:lineRule="exact"/>
              <w:ind w:right="483"/>
              <w:jc w:val="right"/>
              <w:rPr>
                <w:sz w:val="24"/>
              </w:rPr>
            </w:pPr>
            <w:r>
              <w:rPr>
                <w:w w:val="98"/>
                <w:sz w:val="24"/>
              </w:rPr>
              <w:t>R</w:t>
            </w:r>
          </w:p>
        </w:tc>
        <w:tc>
          <w:tcPr>
            <w:tcW w:w="1269" w:type="dxa"/>
          </w:tcPr>
          <w:p>
            <w:pPr>
              <w:pStyle w:val="TableParagraph"/>
              <w:spacing w:before="7"/>
              <w:rPr>
                <w:b/>
                <w:sz w:val="23"/>
              </w:rPr>
            </w:pPr>
          </w:p>
          <w:p>
            <w:pPr>
              <w:pStyle w:val="TableParagraph"/>
              <w:spacing w:line="263" w:lineRule="exact"/>
              <w:ind w:left="108"/>
              <w:rPr>
                <w:sz w:val="24"/>
              </w:rPr>
            </w:pPr>
            <w:r>
              <w:rPr>
                <w:sz w:val="24"/>
              </w:rPr>
              <w:t>452601</w:t>
            </w:r>
          </w:p>
        </w:tc>
        <w:tc>
          <w:tcPr>
            <w:tcW w:w="1135" w:type="dxa"/>
          </w:tcPr>
          <w:p>
            <w:pPr>
              <w:pStyle w:val="TableParagraph"/>
              <w:spacing w:before="7"/>
              <w:rPr>
                <w:b/>
                <w:sz w:val="23"/>
              </w:rPr>
            </w:pPr>
          </w:p>
          <w:p>
            <w:pPr>
              <w:pStyle w:val="TableParagraph"/>
              <w:spacing w:line="263" w:lineRule="exact"/>
              <w:ind w:left="109"/>
              <w:rPr>
                <w:sz w:val="24"/>
              </w:rPr>
            </w:pPr>
            <w:r>
              <w:rPr>
                <w:sz w:val="24"/>
              </w:rPr>
              <w:t>BLM</w:t>
            </w:r>
          </w:p>
        </w:tc>
        <w:tc>
          <w:tcPr>
            <w:tcW w:w="821" w:type="dxa"/>
          </w:tcPr>
          <w:p>
            <w:pPr>
              <w:pStyle w:val="TableParagraph"/>
              <w:spacing w:before="7"/>
              <w:rPr>
                <w:b/>
                <w:sz w:val="23"/>
              </w:rPr>
            </w:pPr>
          </w:p>
          <w:p>
            <w:pPr>
              <w:pStyle w:val="TableParagraph"/>
              <w:spacing w:line="263" w:lineRule="exact"/>
              <w:ind w:left="125" w:right="178"/>
              <w:jc w:val="center"/>
              <w:rPr>
                <w:sz w:val="24"/>
              </w:rPr>
            </w:pPr>
            <w:r>
              <w:rPr>
                <w:sz w:val="24"/>
              </w:rPr>
              <w:t>47.6</w:t>
            </w:r>
          </w:p>
        </w:tc>
        <w:tc>
          <w:tcPr>
            <w:tcW w:w="1169" w:type="dxa"/>
          </w:tcPr>
          <w:p>
            <w:pPr>
              <w:pStyle w:val="TableParagraph"/>
              <w:spacing w:before="9"/>
              <w:rPr>
                <w:b/>
                <w:sz w:val="23"/>
              </w:rPr>
            </w:pPr>
          </w:p>
          <w:p>
            <w:pPr>
              <w:pStyle w:val="TableParagraph"/>
              <w:spacing w:line="260" w:lineRule="exact"/>
              <w:ind w:left="89" w:right="148"/>
              <w:jc w:val="center"/>
              <w:rPr>
                <w:sz w:val="24"/>
              </w:rPr>
            </w:pPr>
            <w:r>
              <w:rPr>
                <w:sz w:val="24"/>
              </w:rPr>
              <w:t>- 119.90</w:t>
            </w:r>
          </w:p>
        </w:tc>
        <w:tc>
          <w:tcPr>
            <w:tcW w:w="759" w:type="dxa"/>
          </w:tcPr>
          <w:p>
            <w:pPr>
              <w:pStyle w:val="TableParagraph"/>
              <w:spacing w:before="7"/>
              <w:rPr>
                <w:b/>
                <w:sz w:val="23"/>
              </w:rPr>
            </w:pPr>
          </w:p>
          <w:p>
            <w:pPr>
              <w:pStyle w:val="TableParagraph"/>
              <w:spacing w:line="263" w:lineRule="exact"/>
              <w:ind w:left="111"/>
              <w:rPr>
                <w:sz w:val="24"/>
              </w:rPr>
            </w:pPr>
            <w:r>
              <w:rPr>
                <w:sz w:val="24"/>
              </w:rPr>
              <w:t>2530</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674</w:t>
            </w:r>
          </w:p>
        </w:tc>
        <w:tc>
          <w:tcPr>
            <w:tcW w:w="2402" w:type="dxa"/>
          </w:tcPr>
          <w:p>
            <w:pPr>
              <w:pStyle w:val="TableParagraph"/>
              <w:spacing w:before="4"/>
              <w:rPr>
                <w:b/>
                <w:sz w:val="23"/>
              </w:rPr>
            </w:pPr>
          </w:p>
          <w:p>
            <w:pPr>
              <w:pStyle w:val="TableParagraph"/>
              <w:spacing w:line="263" w:lineRule="exact"/>
              <w:ind w:left="107"/>
              <w:rPr>
                <w:sz w:val="24"/>
              </w:rPr>
            </w:pPr>
            <w:r>
              <w:rPr>
                <w:sz w:val="24"/>
              </w:rPr>
              <w:t>Escure</w:t>
            </w:r>
          </w:p>
        </w:tc>
        <w:tc>
          <w:tcPr>
            <w:tcW w:w="777" w:type="dxa"/>
          </w:tcPr>
          <w:p>
            <w:pPr>
              <w:pStyle w:val="TableParagraph"/>
              <w:spacing w:before="4"/>
              <w:rPr>
                <w:b/>
                <w:sz w:val="23"/>
              </w:rPr>
            </w:pPr>
          </w:p>
          <w:p>
            <w:pPr>
              <w:pStyle w:val="TableParagraph"/>
              <w:spacing w:line="263" w:lineRule="exact"/>
              <w:ind w:right="483"/>
              <w:jc w:val="right"/>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453601</w:t>
            </w:r>
          </w:p>
        </w:tc>
        <w:tc>
          <w:tcPr>
            <w:tcW w:w="1135" w:type="dxa"/>
          </w:tcPr>
          <w:p>
            <w:pPr>
              <w:pStyle w:val="TableParagraph"/>
              <w:spacing w:before="4"/>
              <w:rPr>
                <w:b/>
                <w:sz w:val="23"/>
              </w:rPr>
            </w:pPr>
          </w:p>
          <w:p>
            <w:pPr>
              <w:pStyle w:val="TableParagraph"/>
              <w:spacing w:line="263" w:lineRule="exact"/>
              <w:ind w:left="109"/>
              <w:rPr>
                <w:sz w:val="24"/>
              </w:rPr>
            </w:pPr>
            <w:r>
              <w:rPr>
                <w:sz w:val="24"/>
              </w:rPr>
              <w:t>BLM</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47.0</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- 117.98</w:t>
            </w:r>
          </w:p>
        </w:tc>
        <w:tc>
          <w:tcPr>
            <w:tcW w:w="759" w:type="dxa"/>
          </w:tcPr>
          <w:p>
            <w:pPr>
              <w:pStyle w:val="TableParagraph"/>
              <w:spacing w:before="4"/>
              <w:rPr>
                <w:b/>
                <w:sz w:val="23"/>
              </w:rPr>
            </w:pPr>
          </w:p>
          <w:p>
            <w:pPr>
              <w:pStyle w:val="TableParagraph"/>
              <w:spacing w:line="263" w:lineRule="exact"/>
              <w:ind w:left="111"/>
              <w:rPr>
                <w:sz w:val="24"/>
              </w:rPr>
            </w:pPr>
            <w:r>
              <w:rPr>
                <w:sz w:val="24"/>
              </w:rPr>
              <w:t>1725</w:t>
            </w:r>
          </w:p>
        </w:tc>
      </w:tr>
      <w:tr>
        <w:trPr>
          <w:trHeight w:val="553" w:hRule="atLeast"/>
        </w:trPr>
        <w:tc>
          <w:tcPr>
            <w:tcW w:w="960" w:type="dxa"/>
          </w:tcPr>
          <w:p>
            <w:pPr>
              <w:pStyle w:val="TableParagraph"/>
              <w:spacing w:before="7"/>
              <w:rPr>
                <w:b/>
                <w:sz w:val="23"/>
              </w:rPr>
            </w:pPr>
          </w:p>
          <w:p>
            <w:pPr>
              <w:pStyle w:val="TableParagraph"/>
              <w:spacing w:line="263" w:lineRule="exact"/>
              <w:ind w:left="107"/>
              <w:rPr>
                <w:sz w:val="24"/>
              </w:rPr>
            </w:pPr>
            <w:r>
              <w:rPr>
                <w:sz w:val="24"/>
              </w:rPr>
              <w:t>674</w:t>
            </w:r>
          </w:p>
        </w:tc>
        <w:tc>
          <w:tcPr>
            <w:tcW w:w="2402" w:type="dxa"/>
          </w:tcPr>
          <w:p>
            <w:pPr>
              <w:pStyle w:val="TableParagraph"/>
              <w:spacing w:before="7"/>
              <w:rPr>
                <w:b/>
                <w:sz w:val="23"/>
              </w:rPr>
            </w:pPr>
          </w:p>
          <w:p>
            <w:pPr>
              <w:pStyle w:val="TableParagraph"/>
              <w:spacing w:line="263" w:lineRule="exact"/>
              <w:ind w:left="107"/>
              <w:rPr>
                <w:sz w:val="24"/>
              </w:rPr>
            </w:pPr>
            <w:r>
              <w:rPr>
                <w:sz w:val="24"/>
              </w:rPr>
              <w:t>Turnbull Wildlife</w:t>
            </w:r>
          </w:p>
        </w:tc>
        <w:tc>
          <w:tcPr>
            <w:tcW w:w="777" w:type="dxa"/>
          </w:tcPr>
          <w:p>
            <w:pPr>
              <w:pStyle w:val="TableParagraph"/>
              <w:spacing w:before="7"/>
              <w:rPr>
                <w:b/>
                <w:sz w:val="23"/>
              </w:rPr>
            </w:pPr>
          </w:p>
          <w:p>
            <w:pPr>
              <w:pStyle w:val="TableParagraph"/>
              <w:spacing w:line="263" w:lineRule="exact"/>
              <w:ind w:right="483"/>
              <w:jc w:val="right"/>
              <w:rPr>
                <w:sz w:val="24"/>
              </w:rPr>
            </w:pPr>
            <w:r>
              <w:rPr>
                <w:w w:val="98"/>
                <w:sz w:val="24"/>
              </w:rPr>
              <w:t>R</w:t>
            </w:r>
          </w:p>
        </w:tc>
        <w:tc>
          <w:tcPr>
            <w:tcW w:w="1269" w:type="dxa"/>
          </w:tcPr>
          <w:p>
            <w:pPr>
              <w:pStyle w:val="TableParagraph"/>
              <w:spacing w:before="7"/>
              <w:rPr>
                <w:b/>
                <w:sz w:val="23"/>
              </w:rPr>
            </w:pPr>
          </w:p>
          <w:p>
            <w:pPr>
              <w:pStyle w:val="TableParagraph"/>
              <w:spacing w:line="263" w:lineRule="exact"/>
              <w:ind w:left="108"/>
              <w:rPr>
                <w:sz w:val="24"/>
              </w:rPr>
            </w:pPr>
            <w:r>
              <w:rPr>
                <w:sz w:val="24"/>
              </w:rPr>
              <w:t>453506</w:t>
            </w:r>
          </w:p>
        </w:tc>
        <w:tc>
          <w:tcPr>
            <w:tcW w:w="1135" w:type="dxa"/>
          </w:tcPr>
          <w:p>
            <w:pPr>
              <w:pStyle w:val="TableParagraph"/>
              <w:spacing w:before="7"/>
              <w:rPr>
                <w:b/>
                <w:sz w:val="23"/>
              </w:rPr>
            </w:pPr>
          </w:p>
          <w:p>
            <w:pPr>
              <w:pStyle w:val="TableParagraph"/>
              <w:spacing w:line="263" w:lineRule="exact"/>
              <w:ind w:left="109"/>
              <w:rPr>
                <w:sz w:val="24"/>
              </w:rPr>
            </w:pPr>
            <w:r>
              <w:rPr>
                <w:sz w:val="24"/>
              </w:rPr>
              <w:t>FWS</w:t>
            </w:r>
          </w:p>
        </w:tc>
        <w:tc>
          <w:tcPr>
            <w:tcW w:w="821" w:type="dxa"/>
          </w:tcPr>
          <w:p>
            <w:pPr>
              <w:pStyle w:val="TableParagraph"/>
              <w:spacing w:before="7"/>
              <w:rPr>
                <w:b/>
                <w:sz w:val="23"/>
              </w:rPr>
            </w:pPr>
          </w:p>
          <w:p>
            <w:pPr>
              <w:pStyle w:val="TableParagraph"/>
              <w:spacing w:line="263" w:lineRule="exact"/>
              <w:ind w:left="125" w:right="178"/>
              <w:jc w:val="center"/>
              <w:rPr>
                <w:sz w:val="24"/>
              </w:rPr>
            </w:pPr>
            <w:r>
              <w:rPr>
                <w:sz w:val="24"/>
              </w:rPr>
              <w:t>47.4</w:t>
            </w:r>
          </w:p>
        </w:tc>
        <w:tc>
          <w:tcPr>
            <w:tcW w:w="1169" w:type="dxa"/>
          </w:tcPr>
          <w:p>
            <w:pPr>
              <w:pStyle w:val="TableParagraph"/>
              <w:spacing w:before="7"/>
              <w:rPr>
                <w:b/>
                <w:sz w:val="23"/>
              </w:rPr>
            </w:pPr>
          </w:p>
          <w:p>
            <w:pPr>
              <w:pStyle w:val="TableParagraph"/>
              <w:spacing w:line="263" w:lineRule="exact"/>
              <w:ind w:left="89" w:right="148"/>
              <w:jc w:val="center"/>
              <w:rPr>
                <w:sz w:val="24"/>
              </w:rPr>
            </w:pPr>
            <w:r>
              <w:rPr>
                <w:sz w:val="24"/>
              </w:rPr>
              <w:t>- 117.53</w:t>
            </w:r>
          </w:p>
        </w:tc>
        <w:tc>
          <w:tcPr>
            <w:tcW w:w="759" w:type="dxa"/>
          </w:tcPr>
          <w:p>
            <w:pPr>
              <w:pStyle w:val="TableParagraph"/>
              <w:spacing w:before="7"/>
              <w:rPr>
                <w:b/>
                <w:sz w:val="23"/>
              </w:rPr>
            </w:pPr>
          </w:p>
          <w:p>
            <w:pPr>
              <w:pStyle w:val="TableParagraph"/>
              <w:spacing w:line="263" w:lineRule="exact"/>
              <w:ind w:left="111"/>
              <w:rPr>
                <w:sz w:val="24"/>
              </w:rPr>
            </w:pPr>
            <w:r>
              <w:rPr>
                <w:sz w:val="24"/>
              </w:rPr>
              <w:t>2250</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674</w:t>
            </w:r>
          </w:p>
        </w:tc>
        <w:tc>
          <w:tcPr>
            <w:tcW w:w="2402" w:type="dxa"/>
          </w:tcPr>
          <w:p>
            <w:pPr>
              <w:pStyle w:val="TableParagraph"/>
              <w:spacing w:before="4"/>
              <w:rPr>
                <w:b/>
                <w:sz w:val="23"/>
              </w:rPr>
            </w:pPr>
          </w:p>
          <w:p>
            <w:pPr>
              <w:pStyle w:val="TableParagraph"/>
              <w:spacing w:line="263" w:lineRule="exact"/>
              <w:ind w:left="107"/>
              <w:rPr>
                <w:sz w:val="24"/>
              </w:rPr>
            </w:pPr>
            <w:r>
              <w:rPr>
                <w:sz w:val="24"/>
              </w:rPr>
              <w:t>Spokane Airport</w:t>
            </w:r>
          </w:p>
        </w:tc>
        <w:tc>
          <w:tcPr>
            <w:tcW w:w="777" w:type="dxa"/>
          </w:tcPr>
          <w:p>
            <w:pPr>
              <w:pStyle w:val="TableParagraph"/>
              <w:spacing w:before="4"/>
              <w:rPr>
                <w:b/>
                <w:sz w:val="23"/>
              </w:rPr>
            </w:pPr>
          </w:p>
          <w:p>
            <w:pPr>
              <w:pStyle w:val="TableParagraph"/>
              <w:spacing w:line="263" w:lineRule="exact"/>
              <w:ind w:right="456"/>
              <w:jc w:val="right"/>
              <w:rPr>
                <w:sz w:val="24"/>
              </w:rPr>
            </w:pPr>
            <w:r>
              <w:rPr>
                <w:w w:val="98"/>
                <w:sz w:val="24"/>
              </w:rPr>
              <w:t>M</w:t>
            </w:r>
          </w:p>
        </w:tc>
        <w:tc>
          <w:tcPr>
            <w:tcW w:w="1269" w:type="dxa"/>
          </w:tcPr>
          <w:p>
            <w:pPr>
              <w:pStyle w:val="TableParagraph"/>
              <w:spacing w:before="4"/>
              <w:rPr>
                <w:b/>
                <w:sz w:val="23"/>
              </w:rPr>
            </w:pPr>
          </w:p>
          <w:p>
            <w:pPr>
              <w:pStyle w:val="TableParagraph"/>
              <w:spacing w:line="263" w:lineRule="exact"/>
              <w:ind w:left="108"/>
              <w:rPr>
                <w:sz w:val="24"/>
              </w:rPr>
            </w:pPr>
            <w:r>
              <w:rPr>
                <w:sz w:val="24"/>
              </w:rPr>
              <w:t>453505</w:t>
            </w:r>
          </w:p>
        </w:tc>
        <w:tc>
          <w:tcPr>
            <w:tcW w:w="1135" w:type="dxa"/>
          </w:tcPr>
          <w:p>
            <w:pPr>
              <w:pStyle w:val="TableParagraph"/>
              <w:spacing w:before="4"/>
              <w:rPr>
                <w:b/>
                <w:sz w:val="23"/>
              </w:rPr>
            </w:pPr>
          </w:p>
          <w:p>
            <w:pPr>
              <w:pStyle w:val="TableParagraph"/>
              <w:spacing w:line="263" w:lineRule="exact"/>
              <w:ind w:left="109"/>
              <w:rPr>
                <w:sz w:val="24"/>
              </w:rPr>
            </w:pPr>
            <w:r>
              <w:rPr>
                <w:sz w:val="24"/>
              </w:rPr>
              <w:t>NWS</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47.6</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- 117.50</w:t>
            </w:r>
          </w:p>
        </w:tc>
        <w:tc>
          <w:tcPr>
            <w:tcW w:w="759" w:type="dxa"/>
          </w:tcPr>
          <w:p>
            <w:pPr>
              <w:pStyle w:val="TableParagraph"/>
              <w:spacing w:before="4"/>
              <w:rPr>
                <w:b/>
                <w:sz w:val="23"/>
              </w:rPr>
            </w:pPr>
          </w:p>
          <w:p>
            <w:pPr>
              <w:pStyle w:val="TableParagraph"/>
              <w:spacing w:line="263" w:lineRule="exact"/>
              <w:ind w:left="111"/>
              <w:rPr>
                <w:sz w:val="24"/>
              </w:rPr>
            </w:pPr>
            <w:r>
              <w:rPr>
                <w:sz w:val="24"/>
              </w:rPr>
              <w:t>2365</w:t>
            </w:r>
          </w:p>
        </w:tc>
      </w:tr>
      <w:tr>
        <w:trPr>
          <w:trHeight w:val="275" w:hRule="atLeast"/>
        </w:trPr>
        <w:tc>
          <w:tcPr>
            <w:tcW w:w="960" w:type="dxa"/>
          </w:tcPr>
          <w:p>
            <w:pPr>
              <w:pStyle w:val="TableParagraph"/>
              <w:rPr>
                <w:rFonts w:ascii="Times New Roman"/>
                <w:sz w:val="20"/>
              </w:rPr>
            </w:pPr>
          </w:p>
        </w:tc>
        <w:tc>
          <w:tcPr>
            <w:tcW w:w="2402" w:type="dxa"/>
          </w:tcPr>
          <w:p>
            <w:pPr>
              <w:pStyle w:val="TableParagraph"/>
              <w:rPr>
                <w:rFonts w:ascii="Times New Roman"/>
                <w:sz w:val="20"/>
              </w:rPr>
            </w:pPr>
          </w:p>
        </w:tc>
        <w:tc>
          <w:tcPr>
            <w:tcW w:w="777" w:type="dxa"/>
          </w:tcPr>
          <w:p>
            <w:pPr>
              <w:pStyle w:val="TableParagraph"/>
              <w:rPr>
                <w:rFonts w:ascii="Times New Roman"/>
                <w:sz w:val="20"/>
              </w:rPr>
            </w:pPr>
          </w:p>
        </w:tc>
        <w:tc>
          <w:tcPr>
            <w:tcW w:w="1269" w:type="dxa"/>
          </w:tcPr>
          <w:p>
            <w:pPr>
              <w:pStyle w:val="TableParagraph"/>
              <w:rPr>
                <w:rFonts w:ascii="Times New Roman"/>
                <w:sz w:val="20"/>
              </w:rPr>
            </w:pPr>
          </w:p>
        </w:tc>
        <w:tc>
          <w:tcPr>
            <w:tcW w:w="1135" w:type="dxa"/>
          </w:tcPr>
          <w:p>
            <w:pPr>
              <w:pStyle w:val="TableParagraph"/>
              <w:rPr>
                <w:rFonts w:ascii="Times New Roman"/>
                <w:sz w:val="20"/>
              </w:rPr>
            </w:pPr>
          </w:p>
        </w:tc>
        <w:tc>
          <w:tcPr>
            <w:tcW w:w="821" w:type="dxa"/>
          </w:tcPr>
          <w:p>
            <w:pPr>
              <w:pStyle w:val="TableParagraph"/>
              <w:rPr>
                <w:rFonts w:ascii="Times New Roman"/>
                <w:sz w:val="20"/>
              </w:rPr>
            </w:pPr>
          </w:p>
        </w:tc>
        <w:tc>
          <w:tcPr>
            <w:tcW w:w="1169" w:type="dxa"/>
          </w:tcPr>
          <w:p>
            <w:pPr>
              <w:pStyle w:val="TableParagraph"/>
              <w:rPr>
                <w:rFonts w:ascii="Times New Roman"/>
                <w:sz w:val="20"/>
              </w:rPr>
            </w:pPr>
          </w:p>
        </w:tc>
        <w:tc>
          <w:tcPr>
            <w:tcW w:w="759" w:type="dxa"/>
          </w:tcPr>
          <w:p>
            <w:pPr>
              <w:pStyle w:val="TableParagraph"/>
              <w:rPr>
                <w:rFonts w:ascii="Times New Roman"/>
                <w:sz w:val="20"/>
              </w:rPr>
            </w:pP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676</w:t>
            </w:r>
          </w:p>
        </w:tc>
        <w:tc>
          <w:tcPr>
            <w:tcW w:w="2402" w:type="dxa"/>
          </w:tcPr>
          <w:p>
            <w:pPr>
              <w:pStyle w:val="TableParagraph"/>
              <w:spacing w:before="4"/>
              <w:rPr>
                <w:b/>
                <w:sz w:val="23"/>
              </w:rPr>
            </w:pPr>
          </w:p>
          <w:p>
            <w:pPr>
              <w:pStyle w:val="TableParagraph"/>
              <w:spacing w:line="263" w:lineRule="exact"/>
              <w:ind w:left="107"/>
              <w:rPr>
                <w:sz w:val="24"/>
              </w:rPr>
            </w:pPr>
            <w:r>
              <w:rPr>
                <w:sz w:val="24"/>
              </w:rPr>
              <w:t>Ellensburg</w:t>
            </w:r>
          </w:p>
        </w:tc>
        <w:tc>
          <w:tcPr>
            <w:tcW w:w="777" w:type="dxa"/>
          </w:tcPr>
          <w:p>
            <w:pPr>
              <w:pStyle w:val="TableParagraph"/>
              <w:spacing w:before="4"/>
              <w:rPr>
                <w:b/>
                <w:sz w:val="23"/>
              </w:rPr>
            </w:pPr>
          </w:p>
          <w:p>
            <w:pPr>
              <w:pStyle w:val="TableParagraph"/>
              <w:spacing w:line="263" w:lineRule="exact"/>
              <w:ind w:right="456"/>
              <w:jc w:val="right"/>
              <w:rPr>
                <w:sz w:val="24"/>
              </w:rPr>
            </w:pPr>
            <w:r>
              <w:rPr>
                <w:w w:val="98"/>
                <w:sz w:val="24"/>
              </w:rPr>
              <w:t>M</w:t>
            </w:r>
          </w:p>
        </w:tc>
        <w:tc>
          <w:tcPr>
            <w:tcW w:w="1269" w:type="dxa"/>
          </w:tcPr>
          <w:p>
            <w:pPr>
              <w:pStyle w:val="TableParagraph"/>
              <w:spacing w:before="4"/>
              <w:rPr>
                <w:b/>
                <w:sz w:val="23"/>
              </w:rPr>
            </w:pPr>
          </w:p>
          <w:p>
            <w:pPr>
              <w:pStyle w:val="TableParagraph"/>
              <w:spacing w:line="263" w:lineRule="exact"/>
              <w:ind w:left="108"/>
              <w:rPr>
                <w:sz w:val="24"/>
              </w:rPr>
            </w:pPr>
            <w:r>
              <w:rPr>
                <w:sz w:val="24"/>
              </w:rPr>
              <w:t>452203</w:t>
            </w:r>
          </w:p>
        </w:tc>
        <w:tc>
          <w:tcPr>
            <w:tcW w:w="1135" w:type="dxa"/>
          </w:tcPr>
          <w:p>
            <w:pPr>
              <w:pStyle w:val="TableParagraph"/>
              <w:spacing w:before="4"/>
              <w:rPr>
                <w:b/>
                <w:sz w:val="23"/>
              </w:rPr>
            </w:pPr>
          </w:p>
          <w:p>
            <w:pPr>
              <w:pStyle w:val="TableParagraph"/>
              <w:spacing w:line="263" w:lineRule="exact"/>
              <w:ind w:left="109"/>
              <w:rPr>
                <w:sz w:val="24"/>
              </w:rPr>
            </w:pPr>
            <w:r>
              <w:rPr>
                <w:sz w:val="24"/>
              </w:rPr>
              <w:t>DNR</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47.0</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- 120.54</w:t>
            </w:r>
          </w:p>
        </w:tc>
        <w:tc>
          <w:tcPr>
            <w:tcW w:w="759" w:type="dxa"/>
          </w:tcPr>
          <w:p>
            <w:pPr>
              <w:pStyle w:val="TableParagraph"/>
              <w:spacing w:before="4"/>
              <w:rPr>
                <w:b/>
                <w:sz w:val="23"/>
              </w:rPr>
            </w:pPr>
          </w:p>
          <w:p>
            <w:pPr>
              <w:pStyle w:val="TableParagraph"/>
              <w:spacing w:line="263" w:lineRule="exact"/>
              <w:ind w:left="111"/>
              <w:rPr>
                <w:sz w:val="24"/>
              </w:rPr>
            </w:pPr>
            <w:r>
              <w:rPr>
                <w:sz w:val="24"/>
              </w:rPr>
              <w:t>1560</w:t>
            </w:r>
          </w:p>
        </w:tc>
      </w:tr>
      <w:tr>
        <w:trPr>
          <w:trHeight w:val="275" w:hRule="atLeast"/>
        </w:trPr>
        <w:tc>
          <w:tcPr>
            <w:tcW w:w="960" w:type="dxa"/>
          </w:tcPr>
          <w:p>
            <w:pPr>
              <w:pStyle w:val="TableParagraph"/>
              <w:rPr>
                <w:rFonts w:ascii="Times New Roman"/>
                <w:sz w:val="20"/>
              </w:rPr>
            </w:pPr>
          </w:p>
        </w:tc>
        <w:tc>
          <w:tcPr>
            <w:tcW w:w="2402" w:type="dxa"/>
          </w:tcPr>
          <w:p>
            <w:pPr>
              <w:pStyle w:val="TableParagraph"/>
              <w:rPr>
                <w:rFonts w:ascii="Times New Roman"/>
                <w:sz w:val="20"/>
              </w:rPr>
            </w:pPr>
          </w:p>
        </w:tc>
        <w:tc>
          <w:tcPr>
            <w:tcW w:w="777" w:type="dxa"/>
          </w:tcPr>
          <w:p>
            <w:pPr>
              <w:pStyle w:val="TableParagraph"/>
              <w:rPr>
                <w:rFonts w:ascii="Times New Roman"/>
                <w:sz w:val="20"/>
              </w:rPr>
            </w:pPr>
          </w:p>
        </w:tc>
        <w:tc>
          <w:tcPr>
            <w:tcW w:w="1269" w:type="dxa"/>
          </w:tcPr>
          <w:p>
            <w:pPr>
              <w:pStyle w:val="TableParagraph"/>
              <w:rPr>
                <w:rFonts w:ascii="Times New Roman"/>
                <w:sz w:val="20"/>
              </w:rPr>
            </w:pPr>
          </w:p>
        </w:tc>
        <w:tc>
          <w:tcPr>
            <w:tcW w:w="1135" w:type="dxa"/>
          </w:tcPr>
          <w:p>
            <w:pPr>
              <w:pStyle w:val="TableParagraph"/>
              <w:rPr>
                <w:rFonts w:ascii="Times New Roman"/>
                <w:sz w:val="20"/>
              </w:rPr>
            </w:pPr>
          </w:p>
        </w:tc>
        <w:tc>
          <w:tcPr>
            <w:tcW w:w="821" w:type="dxa"/>
          </w:tcPr>
          <w:p>
            <w:pPr>
              <w:pStyle w:val="TableParagraph"/>
              <w:rPr>
                <w:rFonts w:ascii="Times New Roman"/>
                <w:sz w:val="20"/>
              </w:rPr>
            </w:pPr>
          </w:p>
        </w:tc>
        <w:tc>
          <w:tcPr>
            <w:tcW w:w="1169" w:type="dxa"/>
          </w:tcPr>
          <w:p>
            <w:pPr>
              <w:pStyle w:val="TableParagraph"/>
              <w:rPr>
                <w:rFonts w:ascii="Times New Roman"/>
                <w:sz w:val="20"/>
              </w:rPr>
            </w:pPr>
          </w:p>
        </w:tc>
        <w:tc>
          <w:tcPr>
            <w:tcW w:w="759" w:type="dxa"/>
          </w:tcPr>
          <w:p>
            <w:pPr>
              <w:pStyle w:val="TableParagraph"/>
              <w:rPr>
                <w:rFonts w:ascii="Times New Roman"/>
                <w:sz w:val="20"/>
              </w:rPr>
            </w:pPr>
          </w:p>
        </w:tc>
      </w:tr>
      <w:tr>
        <w:trPr>
          <w:trHeight w:val="553" w:hRule="atLeast"/>
        </w:trPr>
        <w:tc>
          <w:tcPr>
            <w:tcW w:w="960" w:type="dxa"/>
          </w:tcPr>
          <w:p>
            <w:pPr>
              <w:pStyle w:val="TableParagraph"/>
              <w:spacing w:before="7"/>
              <w:rPr>
                <w:b/>
                <w:sz w:val="23"/>
              </w:rPr>
            </w:pPr>
          </w:p>
          <w:p>
            <w:pPr>
              <w:pStyle w:val="TableParagraph"/>
              <w:spacing w:line="263" w:lineRule="exact"/>
              <w:ind w:left="107"/>
              <w:rPr>
                <w:sz w:val="24"/>
              </w:rPr>
            </w:pPr>
            <w:r>
              <w:rPr>
                <w:sz w:val="24"/>
              </w:rPr>
              <w:t>677</w:t>
            </w:r>
          </w:p>
        </w:tc>
        <w:tc>
          <w:tcPr>
            <w:tcW w:w="2402" w:type="dxa"/>
          </w:tcPr>
          <w:p>
            <w:pPr>
              <w:pStyle w:val="TableParagraph"/>
              <w:spacing w:before="7"/>
              <w:rPr>
                <w:b/>
                <w:sz w:val="23"/>
              </w:rPr>
            </w:pPr>
          </w:p>
          <w:p>
            <w:pPr>
              <w:pStyle w:val="TableParagraph"/>
              <w:spacing w:line="263" w:lineRule="exact"/>
              <w:ind w:left="107"/>
              <w:rPr>
                <w:sz w:val="24"/>
              </w:rPr>
            </w:pPr>
            <w:r>
              <w:rPr>
                <w:sz w:val="24"/>
              </w:rPr>
              <w:t>Dry Creek</w:t>
            </w:r>
          </w:p>
        </w:tc>
        <w:tc>
          <w:tcPr>
            <w:tcW w:w="777" w:type="dxa"/>
          </w:tcPr>
          <w:p>
            <w:pPr>
              <w:pStyle w:val="TableParagraph"/>
              <w:spacing w:before="7"/>
              <w:rPr>
                <w:b/>
                <w:sz w:val="23"/>
              </w:rPr>
            </w:pPr>
          </w:p>
          <w:p>
            <w:pPr>
              <w:pStyle w:val="TableParagraph"/>
              <w:spacing w:line="263" w:lineRule="exact"/>
              <w:ind w:right="483"/>
              <w:jc w:val="right"/>
              <w:rPr>
                <w:sz w:val="24"/>
              </w:rPr>
            </w:pPr>
            <w:r>
              <w:rPr>
                <w:w w:val="98"/>
                <w:sz w:val="24"/>
              </w:rPr>
              <w:t>R</w:t>
            </w:r>
          </w:p>
        </w:tc>
        <w:tc>
          <w:tcPr>
            <w:tcW w:w="1269" w:type="dxa"/>
          </w:tcPr>
          <w:p>
            <w:pPr>
              <w:pStyle w:val="TableParagraph"/>
              <w:spacing w:before="7"/>
              <w:rPr>
                <w:b/>
                <w:sz w:val="23"/>
              </w:rPr>
            </w:pPr>
          </w:p>
          <w:p>
            <w:pPr>
              <w:pStyle w:val="TableParagraph"/>
              <w:spacing w:line="263" w:lineRule="exact"/>
              <w:ind w:left="108"/>
              <w:rPr>
                <w:sz w:val="24"/>
              </w:rPr>
            </w:pPr>
            <w:r>
              <w:rPr>
                <w:sz w:val="24"/>
              </w:rPr>
              <w:t>452134</w:t>
            </w:r>
          </w:p>
        </w:tc>
        <w:tc>
          <w:tcPr>
            <w:tcW w:w="1135" w:type="dxa"/>
          </w:tcPr>
          <w:p>
            <w:pPr>
              <w:pStyle w:val="TableParagraph"/>
              <w:spacing w:before="7"/>
              <w:rPr>
                <w:b/>
                <w:sz w:val="23"/>
              </w:rPr>
            </w:pPr>
          </w:p>
          <w:p>
            <w:pPr>
              <w:pStyle w:val="TableParagraph"/>
              <w:spacing w:line="263" w:lineRule="exact"/>
              <w:ind w:left="109"/>
              <w:rPr>
                <w:sz w:val="24"/>
              </w:rPr>
            </w:pPr>
            <w:r>
              <w:rPr>
                <w:sz w:val="24"/>
              </w:rPr>
              <w:t>USFS</w:t>
            </w:r>
          </w:p>
        </w:tc>
        <w:tc>
          <w:tcPr>
            <w:tcW w:w="821" w:type="dxa"/>
          </w:tcPr>
          <w:p>
            <w:pPr>
              <w:pStyle w:val="TableParagraph"/>
              <w:spacing w:before="7"/>
              <w:rPr>
                <w:b/>
                <w:sz w:val="23"/>
              </w:rPr>
            </w:pPr>
          </w:p>
          <w:p>
            <w:pPr>
              <w:pStyle w:val="TableParagraph"/>
              <w:spacing w:line="263" w:lineRule="exact"/>
              <w:ind w:left="125" w:right="178"/>
              <w:jc w:val="center"/>
              <w:rPr>
                <w:sz w:val="24"/>
              </w:rPr>
            </w:pPr>
            <w:r>
              <w:rPr>
                <w:sz w:val="24"/>
              </w:rPr>
              <w:t>47.7</w:t>
            </w:r>
          </w:p>
        </w:tc>
        <w:tc>
          <w:tcPr>
            <w:tcW w:w="1169" w:type="dxa"/>
          </w:tcPr>
          <w:p>
            <w:pPr>
              <w:pStyle w:val="TableParagraph"/>
              <w:spacing w:before="9"/>
              <w:rPr>
                <w:b/>
                <w:sz w:val="23"/>
              </w:rPr>
            </w:pPr>
          </w:p>
          <w:p>
            <w:pPr>
              <w:pStyle w:val="TableParagraph"/>
              <w:spacing w:line="260" w:lineRule="exact"/>
              <w:ind w:left="89" w:right="148"/>
              <w:jc w:val="center"/>
              <w:rPr>
                <w:sz w:val="24"/>
              </w:rPr>
            </w:pPr>
            <w:r>
              <w:rPr>
                <w:sz w:val="24"/>
              </w:rPr>
              <w:t>- 120.53</w:t>
            </w:r>
          </w:p>
        </w:tc>
        <w:tc>
          <w:tcPr>
            <w:tcW w:w="759" w:type="dxa"/>
          </w:tcPr>
          <w:p>
            <w:pPr>
              <w:pStyle w:val="TableParagraph"/>
              <w:spacing w:before="7"/>
              <w:rPr>
                <w:b/>
                <w:sz w:val="23"/>
              </w:rPr>
            </w:pPr>
          </w:p>
          <w:p>
            <w:pPr>
              <w:pStyle w:val="TableParagraph"/>
              <w:spacing w:line="263" w:lineRule="exact"/>
              <w:ind w:left="111"/>
              <w:rPr>
                <w:sz w:val="24"/>
              </w:rPr>
            </w:pPr>
            <w:r>
              <w:rPr>
                <w:sz w:val="24"/>
              </w:rPr>
              <w:t>3480</w:t>
            </w:r>
          </w:p>
        </w:tc>
      </w:tr>
      <w:tr>
        <w:trPr>
          <w:trHeight w:val="553" w:hRule="atLeast"/>
        </w:trPr>
        <w:tc>
          <w:tcPr>
            <w:tcW w:w="960" w:type="dxa"/>
          </w:tcPr>
          <w:p>
            <w:pPr>
              <w:pStyle w:val="TableParagraph"/>
              <w:spacing w:before="7"/>
              <w:rPr>
                <w:b/>
                <w:sz w:val="23"/>
              </w:rPr>
            </w:pPr>
          </w:p>
          <w:p>
            <w:pPr>
              <w:pStyle w:val="TableParagraph"/>
              <w:spacing w:line="263" w:lineRule="exact"/>
              <w:ind w:left="107"/>
              <w:rPr>
                <w:sz w:val="24"/>
              </w:rPr>
            </w:pPr>
            <w:r>
              <w:rPr>
                <w:sz w:val="24"/>
              </w:rPr>
              <w:t>677</w:t>
            </w:r>
          </w:p>
        </w:tc>
        <w:tc>
          <w:tcPr>
            <w:tcW w:w="2402" w:type="dxa"/>
          </w:tcPr>
          <w:p>
            <w:pPr>
              <w:pStyle w:val="TableParagraph"/>
              <w:spacing w:before="7"/>
              <w:rPr>
                <w:b/>
                <w:sz w:val="23"/>
              </w:rPr>
            </w:pPr>
          </w:p>
          <w:p>
            <w:pPr>
              <w:pStyle w:val="TableParagraph"/>
              <w:spacing w:line="263" w:lineRule="exact"/>
              <w:ind w:left="107"/>
              <w:rPr>
                <w:sz w:val="24"/>
              </w:rPr>
            </w:pPr>
            <w:r>
              <w:rPr>
                <w:sz w:val="24"/>
              </w:rPr>
              <w:t>Camp 4</w:t>
            </w:r>
          </w:p>
        </w:tc>
        <w:tc>
          <w:tcPr>
            <w:tcW w:w="777" w:type="dxa"/>
          </w:tcPr>
          <w:p>
            <w:pPr>
              <w:pStyle w:val="TableParagraph"/>
              <w:spacing w:before="7"/>
              <w:rPr>
                <w:b/>
                <w:sz w:val="23"/>
              </w:rPr>
            </w:pPr>
          </w:p>
          <w:p>
            <w:pPr>
              <w:pStyle w:val="TableParagraph"/>
              <w:spacing w:line="263" w:lineRule="exact"/>
              <w:ind w:right="483"/>
              <w:jc w:val="right"/>
              <w:rPr>
                <w:sz w:val="24"/>
              </w:rPr>
            </w:pPr>
            <w:r>
              <w:rPr>
                <w:w w:val="98"/>
                <w:sz w:val="24"/>
              </w:rPr>
              <w:t>R</w:t>
            </w:r>
          </w:p>
        </w:tc>
        <w:tc>
          <w:tcPr>
            <w:tcW w:w="1269" w:type="dxa"/>
          </w:tcPr>
          <w:p>
            <w:pPr>
              <w:pStyle w:val="TableParagraph"/>
              <w:spacing w:before="7"/>
              <w:rPr>
                <w:b/>
                <w:sz w:val="23"/>
              </w:rPr>
            </w:pPr>
          </w:p>
          <w:p>
            <w:pPr>
              <w:pStyle w:val="TableParagraph"/>
              <w:spacing w:line="263" w:lineRule="exact"/>
              <w:ind w:left="108"/>
              <w:rPr>
                <w:sz w:val="24"/>
              </w:rPr>
            </w:pPr>
            <w:r>
              <w:rPr>
                <w:sz w:val="24"/>
              </w:rPr>
              <w:t>452132</w:t>
            </w:r>
          </w:p>
        </w:tc>
        <w:tc>
          <w:tcPr>
            <w:tcW w:w="1135" w:type="dxa"/>
          </w:tcPr>
          <w:p>
            <w:pPr>
              <w:pStyle w:val="TableParagraph"/>
              <w:spacing w:before="7"/>
              <w:rPr>
                <w:b/>
                <w:sz w:val="23"/>
              </w:rPr>
            </w:pPr>
          </w:p>
          <w:p>
            <w:pPr>
              <w:pStyle w:val="TableParagraph"/>
              <w:spacing w:line="263" w:lineRule="exact"/>
              <w:ind w:left="109"/>
              <w:rPr>
                <w:sz w:val="24"/>
              </w:rPr>
            </w:pPr>
            <w:r>
              <w:rPr>
                <w:sz w:val="24"/>
              </w:rPr>
              <w:t>USFS</w:t>
            </w:r>
          </w:p>
        </w:tc>
        <w:tc>
          <w:tcPr>
            <w:tcW w:w="821" w:type="dxa"/>
          </w:tcPr>
          <w:p>
            <w:pPr>
              <w:pStyle w:val="TableParagraph"/>
              <w:spacing w:before="7"/>
              <w:rPr>
                <w:b/>
                <w:sz w:val="23"/>
              </w:rPr>
            </w:pPr>
          </w:p>
          <w:p>
            <w:pPr>
              <w:pStyle w:val="TableParagraph"/>
              <w:spacing w:line="263" w:lineRule="exact"/>
              <w:ind w:left="125" w:right="178"/>
              <w:jc w:val="center"/>
              <w:rPr>
                <w:sz w:val="24"/>
              </w:rPr>
            </w:pPr>
            <w:r>
              <w:rPr>
                <w:sz w:val="24"/>
              </w:rPr>
              <w:t>48.0</w:t>
            </w:r>
          </w:p>
        </w:tc>
        <w:tc>
          <w:tcPr>
            <w:tcW w:w="1169" w:type="dxa"/>
          </w:tcPr>
          <w:p>
            <w:pPr>
              <w:pStyle w:val="TableParagraph"/>
              <w:spacing w:before="7"/>
              <w:rPr>
                <w:b/>
                <w:sz w:val="23"/>
              </w:rPr>
            </w:pPr>
          </w:p>
          <w:p>
            <w:pPr>
              <w:pStyle w:val="TableParagraph"/>
              <w:spacing w:line="263" w:lineRule="exact"/>
              <w:ind w:left="89" w:right="148"/>
              <w:jc w:val="center"/>
              <w:rPr>
                <w:sz w:val="24"/>
              </w:rPr>
            </w:pPr>
            <w:r>
              <w:rPr>
                <w:sz w:val="24"/>
              </w:rPr>
              <w:t>- 120.23</w:t>
            </w:r>
          </w:p>
        </w:tc>
        <w:tc>
          <w:tcPr>
            <w:tcW w:w="759" w:type="dxa"/>
          </w:tcPr>
          <w:p>
            <w:pPr>
              <w:pStyle w:val="TableParagraph"/>
              <w:spacing w:before="7"/>
              <w:rPr>
                <w:b/>
                <w:sz w:val="23"/>
              </w:rPr>
            </w:pPr>
          </w:p>
          <w:p>
            <w:pPr>
              <w:pStyle w:val="TableParagraph"/>
              <w:spacing w:line="263" w:lineRule="exact"/>
              <w:ind w:left="111"/>
              <w:rPr>
                <w:sz w:val="24"/>
              </w:rPr>
            </w:pPr>
            <w:r>
              <w:rPr>
                <w:sz w:val="24"/>
              </w:rPr>
              <w:t>3773</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677</w:t>
            </w:r>
          </w:p>
        </w:tc>
        <w:tc>
          <w:tcPr>
            <w:tcW w:w="2402" w:type="dxa"/>
          </w:tcPr>
          <w:p>
            <w:pPr>
              <w:pStyle w:val="TableParagraph"/>
              <w:spacing w:before="4"/>
              <w:rPr>
                <w:b/>
                <w:sz w:val="23"/>
              </w:rPr>
            </w:pPr>
          </w:p>
          <w:p>
            <w:pPr>
              <w:pStyle w:val="TableParagraph"/>
              <w:spacing w:line="263" w:lineRule="exact"/>
              <w:ind w:left="107"/>
              <w:rPr>
                <w:sz w:val="24"/>
              </w:rPr>
            </w:pPr>
            <w:r>
              <w:rPr>
                <w:sz w:val="24"/>
              </w:rPr>
              <w:t>Entiat</w:t>
            </w:r>
          </w:p>
        </w:tc>
        <w:tc>
          <w:tcPr>
            <w:tcW w:w="777" w:type="dxa"/>
          </w:tcPr>
          <w:p>
            <w:pPr>
              <w:pStyle w:val="TableParagraph"/>
              <w:spacing w:before="4"/>
              <w:rPr>
                <w:b/>
                <w:sz w:val="23"/>
              </w:rPr>
            </w:pPr>
          </w:p>
          <w:p>
            <w:pPr>
              <w:pStyle w:val="TableParagraph"/>
              <w:spacing w:line="263" w:lineRule="exact"/>
              <w:ind w:right="483"/>
              <w:jc w:val="right"/>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452136</w:t>
            </w:r>
          </w:p>
        </w:tc>
        <w:tc>
          <w:tcPr>
            <w:tcW w:w="1135" w:type="dxa"/>
          </w:tcPr>
          <w:p>
            <w:pPr>
              <w:pStyle w:val="TableParagraph"/>
              <w:spacing w:before="4"/>
              <w:rPr>
                <w:b/>
                <w:sz w:val="23"/>
              </w:rPr>
            </w:pPr>
          </w:p>
          <w:p>
            <w:pPr>
              <w:pStyle w:val="TableParagraph"/>
              <w:spacing w:line="263" w:lineRule="exact"/>
              <w:ind w:left="109"/>
              <w:rPr>
                <w:sz w:val="24"/>
              </w:rPr>
            </w:pPr>
            <w:r>
              <w:rPr>
                <w:sz w:val="24"/>
              </w:rPr>
              <w:t>USFS</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47.6</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- 120.21</w:t>
            </w:r>
          </w:p>
        </w:tc>
        <w:tc>
          <w:tcPr>
            <w:tcW w:w="759" w:type="dxa"/>
          </w:tcPr>
          <w:p>
            <w:pPr>
              <w:pStyle w:val="TableParagraph"/>
              <w:spacing w:before="4"/>
              <w:rPr>
                <w:b/>
                <w:sz w:val="23"/>
              </w:rPr>
            </w:pPr>
          </w:p>
          <w:p>
            <w:pPr>
              <w:pStyle w:val="TableParagraph"/>
              <w:spacing w:line="263" w:lineRule="exact"/>
              <w:ind w:left="111"/>
              <w:rPr>
                <w:sz w:val="24"/>
              </w:rPr>
            </w:pPr>
            <w:r>
              <w:rPr>
                <w:sz w:val="24"/>
              </w:rPr>
              <w:t>796</w:t>
            </w:r>
          </w:p>
        </w:tc>
      </w:tr>
      <w:tr>
        <w:trPr>
          <w:trHeight w:val="275" w:hRule="atLeast"/>
        </w:trPr>
        <w:tc>
          <w:tcPr>
            <w:tcW w:w="960" w:type="dxa"/>
          </w:tcPr>
          <w:p>
            <w:pPr>
              <w:pStyle w:val="TableParagraph"/>
              <w:rPr>
                <w:rFonts w:ascii="Times New Roman"/>
                <w:sz w:val="20"/>
              </w:rPr>
            </w:pPr>
          </w:p>
        </w:tc>
        <w:tc>
          <w:tcPr>
            <w:tcW w:w="2402" w:type="dxa"/>
          </w:tcPr>
          <w:p>
            <w:pPr>
              <w:pStyle w:val="TableParagraph"/>
              <w:rPr>
                <w:rFonts w:ascii="Times New Roman"/>
                <w:sz w:val="20"/>
              </w:rPr>
            </w:pPr>
          </w:p>
        </w:tc>
        <w:tc>
          <w:tcPr>
            <w:tcW w:w="777" w:type="dxa"/>
          </w:tcPr>
          <w:p>
            <w:pPr>
              <w:pStyle w:val="TableParagraph"/>
              <w:rPr>
                <w:rFonts w:ascii="Times New Roman"/>
                <w:sz w:val="20"/>
              </w:rPr>
            </w:pPr>
          </w:p>
        </w:tc>
        <w:tc>
          <w:tcPr>
            <w:tcW w:w="1269" w:type="dxa"/>
          </w:tcPr>
          <w:p>
            <w:pPr>
              <w:pStyle w:val="TableParagraph"/>
              <w:rPr>
                <w:rFonts w:ascii="Times New Roman"/>
                <w:sz w:val="20"/>
              </w:rPr>
            </w:pPr>
          </w:p>
        </w:tc>
        <w:tc>
          <w:tcPr>
            <w:tcW w:w="1135" w:type="dxa"/>
          </w:tcPr>
          <w:p>
            <w:pPr>
              <w:pStyle w:val="TableParagraph"/>
              <w:rPr>
                <w:rFonts w:ascii="Times New Roman"/>
                <w:sz w:val="20"/>
              </w:rPr>
            </w:pPr>
          </w:p>
        </w:tc>
        <w:tc>
          <w:tcPr>
            <w:tcW w:w="821" w:type="dxa"/>
          </w:tcPr>
          <w:p>
            <w:pPr>
              <w:pStyle w:val="TableParagraph"/>
              <w:rPr>
                <w:rFonts w:ascii="Times New Roman"/>
                <w:sz w:val="20"/>
              </w:rPr>
            </w:pPr>
          </w:p>
        </w:tc>
        <w:tc>
          <w:tcPr>
            <w:tcW w:w="1169" w:type="dxa"/>
          </w:tcPr>
          <w:p>
            <w:pPr>
              <w:pStyle w:val="TableParagraph"/>
              <w:rPr>
                <w:rFonts w:ascii="Times New Roman"/>
                <w:sz w:val="20"/>
              </w:rPr>
            </w:pPr>
          </w:p>
        </w:tc>
        <w:tc>
          <w:tcPr>
            <w:tcW w:w="759" w:type="dxa"/>
          </w:tcPr>
          <w:p>
            <w:pPr>
              <w:pStyle w:val="TableParagraph"/>
              <w:rPr>
                <w:rFonts w:ascii="Times New Roman"/>
                <w:sz w:val="20"/>
              </w:rPr>
            </w:pP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680</w:t>
            </w:r>
          </w:p>
        </w:tc>
        <w:tc>
          <w:tcPr>
            <w:tcW w:w="2402" w:type="dxa"/>
          </w:tcPr>
          <w:p>
            <w:pPr>
              <w:pStyle w:val="TableParagraph"/>
              <w:spacing w:before="4"/>
              <w:rPr>
                <w:b/>
                <w:sz w:val="23"/>
              </w:rPr>
            </w:pPr>
          </w:p>
          <w:p>
            <w:pPr>
              <w:pStyle w:val="TableParagraph"/>
              <w:spacing w:line="263" w:lineRule="exact"/>
              <w:ind w:left="107"/>
              <w:rPr>
                <w:sz w:val="24"/>
              </w:rPr>
            </w:pPr>
            <w:r>
              <w:rPr>
                <w:sz w:val="24"/>
              </w:rPr>
              <w:t>Peoh Point</w:t>
            </w:r>
          </w:p>
        </w:tc>
        <w:tc>
          <w:tcPr>
            <w:tcW w:w="777" w:type="dxa"/>
          </w:tcPr>
          <w:p>
            <w:pPr>
              <w:pStyle w:val="TableParagraph"/>
              <w:spacing w:before="4"/>
              <w:rPr>
                <w:b/>
                <w:sz w:val="23"/>
              </w:rPr>
            </w:pPr>
          </w:p>
          <w:p>
            <w:pPr>
              <w:pStyle w:val="TableParagraph"/>
              <w:spacing w:line="263" w:lineRule="exact"/>
              <w:ind w:right="483"/>
              <w:jc w:val="right"/>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452206</w:t>
            </w:r>
          </w:p>
        </w:tc>
        <w:tc>
          <w:tcPr>
            <w:tcW w:w="1135" w:type="dxa"/>
          </w:tcPr>
          <w:p>
            <w:pPr>
              <w:pStyle w:val="TableParagraph"/>
              <w:spacing w:before="4"/>
              <w:rPr>
                <w:b/>
                <w:sz w:val="23"/>
              </w:rPr>
            </w:pPr>
          </w:p>
          <w:p>
            <w:pPr>
              <w:pStyle w:val="TableParagraph"/>
              <w:spacing w:line="263" w:lineRule="exact"/>
              <w:ind w:left="109"/>
              <w:rPr>
                <w:sz w:val="24"/>
              </w:rPr>
            </w:pPr>
            <w:r>
              <w:rPr>
                <w:sz w:val="24"/>
              </w:rPr>
              <w:t>DNR</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47.1</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- 120.95</w:t>
            </w:r>
          </w:p>
        </w:tc>
        <w:tc>
          <w:tcPr>
            <w:tcW w:w="759" w:type="dxa"/>
          </w:tcPr>
          <w:p>
            <w:pPr>
              <w:pStyle w:val="TableParagraph"/>
              <w:spacing w:before="4"/>
              <w:rPr>
                <w:b/>
                <w:sz w:val="23"/>
              </w:rPr>
            </w:pPr>
          </w:p>
          <w:p>
            <w:pPr>
              <w:pStyle w:val="TableParagraph"/>
              <w:spacing w:line="263" w:lineRule="exact"/>
              <w:ind w:left="111"/>
              <w:rPr>
                <w:sz w:val="24"/>
              </w:rPr>
            </w:pPr>
            <w:r>
              <w:rPr>
                <w:sz w:val="24"/>
              </w:rPr>
              <w:t>4020</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680</w:t>
            </w:r>
          </w:p>
        </w:tc>
        <w:tc>
          <w:tcPr>
            <w:tcW w:w="2402" w:type="dxa"/>
          </w:tcPr>
          <w:p>
            <w:pPr>
              <w:pStyle w:val="TableParagraph"/>
              <w:spacing w:before="4"/>
              <w:rPr>
                <w:b/>
                <w:sz w:val="23"/>
              </w:rPr>
            </w:pPr>
          </w:p>
          <w:p>
            <w:pPr>
              <w:pStyle w:val="TableParagraph"/>
              <w:spacing w:line="263" w:lineRule="exact"/>
              <w:ind w:left="107"/>
              <w:rPr>
                <w:sz w:val="24"/>
              </w:rPr>
            </w:pPr>
            <w:r>
              <w:rPr>
                <w:sz w:val="24"/>
              </w:rPr>
              <w:t>Sawmill Flats</w:t>
            </w:r>
          </w:p>
        </w:tc>
        <w:tc>
          <w:tcPr>
            <w:tcW w:w="777" w:type="dxa"/>
          </w:tcPr>
          <w:p>
            <w:pPr>
              <w:pStyle w:val="TableParagraph"/>
              <w:spacing w:before="4"/>
              <w:rPr>
                <w:b/>
                <w:sz w:val="23"/>
              </w:rPr>
            </w:pPr>
          </w:p>
          <w:p>
            <w:pPr>
              <w:pStyle w:val="TableParagraph"/>
              <w:spacing w:line="263" w:lineRule="exact"/>
              <w:ind w:right="483"/>
              <w:jc w:val="right"/>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452221</w:t>
            </w:r>
          </w:p>
        </w:tc>
        <w:tc>
          <w:tcPr>
            <w:tcW w:w="1135" w:type="dxa"/>
          </w:tcPr>
          <w:p>
            <w:pPr>
              <w:pStyle w:val="TableParagraph"/>
              <w:spacing w:before="4"/>
              <w:rPr>
                <w:b/>
                <w:sz w:val="23"/>
              </w:rPr>
            </w:pPr>
          </w:p>
          <w:p>
            <w:pPr>
              <w:pStyle w:val="TableParagraph"/>
              <w:spacing w:line="263" w:lineRule="exact"/>
              <w:ind w:left="109"/>
              <w:rPr>
                <w:sz w:val="24"/>
              </w:rPr>
            </w:pPr>
            <w:r>
              <w:rPr>
                <w:sz w:val="24"/>
              </w:rPr>
              <w:t>USFS</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46.9</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- 121.08</w:t>
            </w:r>
          </w:p>
        </w:tc>
        <w:tc>
          <w:tcPr>
            <w:tcW w:w="759" w:type="dxa"/>
          </w:tcPr>
          <w:p>
            <w:pPr>
              <w:pStyle w:val="TableParagraph"/>
              <w:spacing w:before="4"/>
              <w:rPr>
                <w:b/>
                <w:sz w:val="23"/>
              </w:rPr>
            </w:pPr>
          </w:p>
          <w:p>
            <w:pPr>
              <w:pStyle w:val="TableParagraph"/>
              <w:spacing w:line="263" w:lineRule="exact"/>
              <w:ind w:left="111"/>
              <w:rPr>
                <w:sz w:val="24"/>
              </w:rPr>
            </w:pPr>
            <w:r>
              <w:rPr>
                <w:sz w:val="24"/>
              </w:rPr>
              <w:t>3500</w:t>
            </w:r>
          </w:p>
        </w:tc>
      </w:tr>
      <w:tr>
        <w:trPr>
          <w:trHeight w:val="551" w:hRule="atLeast"/>
        </w:trPr>
        <w:tc>
          <w:tcPr>
            <w:tcW w:w="960" w:type="dxa"/>
          </w:tcPr>
          <w:p>
            <w:pPr>
              <w:pStyle w:val="TableParagraph"/>
              <w:spacing w:before="7"/>
              <w:rPr>
                <w:b/>
                <w:sz w:val="23"/>
              </w:rPr>
            </w:pPr>
          </w:p>
          <w:p>
            <w:pPr>
              <w:pStyle w:val="TableParagraph"/>
              <w:spacing w:line="260" w:lineRule="exact"/>
              <w:ind w:left="107"/>
              <w:rPr>
                <w:sz w:val="24"/>
              </w:rPr>
            </w:pPr>
            <w:r>
              <w:rPr>
                <w:sz w:val="24"/>
              </w:rPr>
              <w:t>680</w:t>
            </w:r>
          </w:p>
        </w:tc>
        <w:tc>
          <w:tcPr>
            <w:tcW w:w="2402" w:type="dxa"/>
          </w:tcPr>
          <w:p>
            <w:pPr>
              <w:pStyle w:val="TableParagraph"/>
              <w:spacing w:before="7"/>
              <w:rPr>
                <w:b/>
                <w:sz w:val="23"/>
              </w:rPr>
            </w:pPr>
          </w:p>
          <w:p>
            <w:pPr>
              <w:pStyle w:val="TableParagraph"/>
              <w:spacing w:line="260" w:lineRule="exact"/>
              <w:ind w:left="107"/>
              <w:rPr>
                <w:sz w:val="24"/>
              </w:rPr>
            </w:pPr>
            <w:r>
              <w:rPr>
                <w:sz w:val="24"/>
              </w:rPr>
              <w:t>Sedge Ridge</w:t>
            </w:r>
          </w:p>
        </w:tc>
        <w:tc>
          <w:tcPr>
            <w:tcW w:w="777" w:type="dxa"/>
          </w:tcPr>
          <w:p>
            <w:pPr>
              <w:pStyle w:val="TableParagraph"/>
              <w:spacing w:before="7"/>
              <w:rPr>
                <w:b/>
                <w:sz w:val="23"/>
              </w:rPr>
            </w:pPr>
          </w:p>
          <w:p>
            <w:pPr>
              <w:pStyle w:val="TableParagraph"/>
              <w:spacing w:line="260" w:lineRule="exact"/>
              <w:ind w:right="483"/>
              <w:jc w:val="right"/>
              <w:rPr>
                <w:sz w:val="24"/>
              </w:rPr>
            </w:pPr>
            <w:r>
              <w:rPr>
                <w:w w:val="98"/>
                <w:sz w:val="24"/>
              </w:rPr>
              <w:t>R</w:t>
            </w:r>
          </w:p>
        </w:tc>
        <w:tc>
          <w:tcPr>
            <w:tcW w:w="1269" w:type="dxa"/>
          </w:tcPr>
          <w:p>
            <w:pPr>
              <w:pStyle w:val="TableParagraph"/>
              <w:spacing w:before="7"/>
              <w:rPr>
                <w:b/>
                <w:sz w:val="23"/>
              </w:rPr>
            </w:pPr>
          </w:p>
          <w:p>
            <w:pPr>
              <w:pStyle w:val="TableParagraph"/>
              <w:spacing w:line="260" w:lineRule="exact"/>
              <w:ind w:left="108"/>
              <w:rPr>
                <w:sz w:val="24"/>
              </w:rPr>
            </w:pPr>
            <w:r>
              <w:rPr>
                <w:sz w:val="24"/>
              </w:rPr>
              <w:t>452306</w:t>
            </w:r>
          </w:p>
        </w:tc>
        <w:tc>
          <w:tcPr>
            <w:tcW w:w="1135" w:type="dxa"/>
          </w:tcPr>
          <w:p>
            <w:pPr>
              <w:pStyle w:val="TableParagraph"/>
              <w:spacing w:before="7"/>
              <w:rPr>
                <w:b/>
                <w:sz w:val="23"/>
              </w:rPr>
            </w:pPr>
          </w:p>
          <w:p>
            <w:pPr>
              <w:pStyle w:val="TableParagraph"/>
              <w:spacing w:line="260" w:lineRule="exact"/>
              <w:ind w:left="109"/>
              <w:rPr>
                <w:sz w:val="24"/>
              </w:rPr>
            </w:pPr>
            <w:r>
              <w:rPr>
                <w:sz w:val="24"/>
              </w:rPr>
              <w:t>DNR</w:t>
            </w:r>
          </w:p>
        </w:tc>
        <w:tc>
          <w:tcPr>
            <w:tcW w:w="821" w:type="dxa"/>
          </w:tcPr>
          <w:p>
            <w:pPr>
              <w:pStyle w:val="TableParagraph"/>
              <w:spacing w:before="7"/>
              <w:rPr>
                <w:b/>
                <w:sz w:val="23"/>
              </w:rPr>
            </w:pPr>
          </w:p>
          <w:p>
            <w:pPr>
              <w:pStyle w:val="TableParagraph"/>
              <w:spacing w:line="260" w:lineRule="exact"/>
              <w:ind w:left="125" w:right="178"/>
              <w:jc w:val="center"/>
              <w:rPr>
                <w:sz w:val="24"/>
              </w:rPr>
            </w:pPr>
            <w:r>
              <w:rPr>
                <w:sz w:val="24"/>
              </w:rPr>
              <w:t>46.5</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- 120.90</w:t>
            </w:r>
          </w:p>
        </w:tc>
        <w:tc>
          <w:tcPr>
            <w:tcW w:w="759" w:type="dxa"/>
          </w:tcPr>
          <w:p>
            <w:pPr>
              <w:pStyle w:val="TableParagraph"/>
              <w:spacing w:before="7"/>
              <w:rPr>
                <w:b/>
                <w:sz w:val="23"/>
              </w:rPr>
            </w:pPr>
          </w:p>
          <w:p>
            <w:pPr>
              <w:pStyle w:val="TableParagraph"/>
              <w:spacing w:line="260" w:lineRule="exact"/>
              <w:ind w:left="111"/>
              <w:rPr>
                <w:sz w:val="24"/>
              </w:rPr>
            </w:pPr>
            <w:r>
              <w:rPr>
                <w:sz w:val="24"/>
              </w:rPr>
              <w:t>4300</w:t>
            </w:r>
          </w:p>
        </w:tc>
      </w:tr>
      <w:tr>
        <w:trPr>
          <w:trHeight w:val="277" w:hRule="atLeast"/>
        </w:trPr>
        <w:tc>
          <w:tcPr>
            <w:tcW w:w="960" w:type="dxa"/>
          </w:tcPr>
          <w:p>
            <w:pPr>
              <w:pStyle w:val="TableParagraph"/>
              <w:rPr>
                <w:rFonts w:ascii="Times New Roman"/>
                <w:sz w:val="20"/>
              </w:rPr>
            </w:pPr>
          </w:p>
        </w:tc>
        <w:tc>
          <w:tcPr>
            <w:tcW w:w="2402" w:type="dxa"/>
          </w:tcPr>
          <w:p>
            <w:pPr>
              <w:pStyle w:val="TableParagraph"/>
              <w:rPr>
                <w:rFonts w:ascii="Times New Roman"/>
                <w:sz w:val="20"/>
              </w:rPr>
            </w:pPr>
          </w:p>
        </w:tc>
        <w:tc>
          <w:tcPr>
            <w:tcW w:w="777" w:type="dxa"/>
          </w:tcPr>
          <w:p>
            <w:pPr>
              <w:pStyle w:val="TableParagraph"/>
              <w:rPr>
                <w:rFonts w:ascii="Times New Roman"/>
                <w:sz w:val="20"/>
              </w:rPr>
            </w:pPr>
          </w:p>
        </w:tc>
        <w:tc>
          <w:tcPr>
            <w:tcW w:w="1269" w:type="dxa"/>
          </w:tcPr>
          <w:p>
            <w:pPr>
              <w:pStyle w:val="TableParagraph"/>
              <w:rPr>
                <w:rFonts w:ascii="Times New Roman"/>
                <w:sz w:val="20"/>
              </w:rPr>
            </w:pPr>
          </w:p>
        </w:tc>
        <w:tc>
          <w:tcPr>
            <w:tcW w:w="1135" w:type="dxa"/>
          </w:tcPr>
          <w:p>
            <w:pPr>
              <w:pStyle w:val="TableParagraph"/>
              <w:rPr>
                <w:rFonts w:ascii="Times New Roman"/>
                <w:sz w:val="20"/>
              </w:rPr>
            </w:pPr>
          </w:p>
        </w:tc>
        <w:tc>
          <w:tcPr>
            <w:tcW w:w="821" w:type="dxa"/>
          </w:tcPr>
          <w:p>
            <w:pPr>
              <w:pStyle w:val="TableParagraph"/>
              <w:rPr>
                <w:rFonts w:ascii="Times New Roman"/>
                <w:sz w:val="20"/>
              </w:rPr>
            </w:pPr>
          </w:p>
        </w:tc>
        <w:tc>
          <w:tcPr>
            <w:tcW w:w="1169" w:type="dxa"/>
          </w:tcPr>
          <w:p>
            <w:pPr>
              <w:pStyle w:val="TableParagraph"/>
              <w:rPr>
                <w:rFonts w:ascii="Times New Roman"/>
                <w:sz w:val="20"/>
              </w:rPr>
            </w:pPr>
          </w:p>
        </w:tc>
        <w:tc>
          <w:tcPr>
            <w:tcW w:w="759" w:type="dxa"/>
          </w:tcPr>
          <w:p>
            <w:pPr>
              <w:pStyle w:val="TableParagraph"/>
              <w:rPr>
                <w:rFonts w:ascii="Times New Roman"/>
                <w:sz w:val="20"/>
              </w:rPr>
            </w:pPr>
          </w:p>
        </w:tc>
      </w:tr>
      <w:tr>
        <w:trPr>
          <w:trHeight w:val="553" w:hRule="atLeast"/>
        </w:trPr>
        <w:tc>
          <w:tcPr>
            <w:tcW w:w="960" w:type="dxa"/>
          </w:tcPr>
          <w:p>
            <w:pPr>
              <w:pStyle w:val="TableParagraph"/>
              <w:spacing w:before="7"/>
              <w:rPr>
                <w:b/>
                <w:sz w:val="23"/>
              </w:rPr>
            </w:pPr>
          </w:p>
          <w:p>
            <w:pPr>
              <w:pStyle w:val="TableParagraph"/>
              <w:spacing w:line="263" w:lineRule="exact"/>
              <w:ind w:left="107"/>
              <w:rPr>
                <w:sz w:val="24"/>
              </w:rPr>
            </w:pPr>
            <w:r>
              <w:rPr>
                <w:sz w:val="24"/>
              </w:rPr>
              <w:t>682</w:t>
            </w:r>
          </w:p>
        </w:tc>
        <w:tc>
          <w:tcPr>
            <w:tcW w:w="2402" w:type="dxa"/>
          </w:tcPr>
          <w:p>
            <w:pPr>
              <w:pStyle w:val="TableParagraph"/>
              <w:spacing w:before="7"/>
              <w:rPr>
                <w:b/>
                <w:sz w:val="23"/>
              </w:rPr>
            </w:pPr>
          </w:p>
          <w:p>
            <w:pPr>
              <w:pStyle w:val="TableParagraph"/>
              <w:spacing w:line="263" w:lineRule="exact"/>
              <w:ind w:left="107"/>
              <w:rPr>
                <w:sz w:val="24"/>
              </w:rPr>
            </w:pPr>
            <w:r>
              <w:rPr>
                <w:sz w:val="24"/>
              </w:rPr>
              <w:t>Viewpoint</w:t>
            </w:r>
          </w:p>
        </w:tc>
        <w:tc>
          <w:tcPr>
            <w:tcW w:w="777" w:type="dxa"/>
          </w:tcPr>
          <w:p>
            <w:pPr>
              <w:pStyle w:val="TableParagraph"/>
              <w:spacing w:before="7"/>
              <w:rPr>
                <w:b/>
                <w:sz w:val="23"/>
              </w:rPr>
            </w:pPr>
          </w:p>
          <w:p>
            <w:pPr>
              <w:pStyle w:val="TableParagraph"/>
              <w:spacing w:line="263" w:lineRule="exact"/>
              <w:ind w:right="483"/>
              <w:jc w:val="right"/>
              <w:rPr>
                <w:sz w:val="24"/>
              </w:rPr>
            </w:pPr>
            <w:r>
              <w:rPr>
                <w:w w:val="98"/>
                <w:sz w:val="24"/>
              </w:rPr>
              <w:t>R</w:t>
            </w:r>
          </w:p>
        </w:tc>
        <w:tc>
          <w:tcPr>
            <w:tcW w:w="1269" w:type="dxa"/>
          </w:tcPr>
          <w:p>
            <w:pPr>
              <w:pStyle w:val="TableParagraph"/>
              <w:spacing w:before="7"/>
              <w:rPr>
                <w:b/>
                <w:sz w:val="23"/>
              </w:rPr>
            </w:pPr>
          </w:p>
          <w:p>
            <w:pPr>
              <w:pStyle w:val="TableParagraph"/>
              <w:spacing w:line="263" w:lineRule="exact"/>
              <w:ind w:left="108"/>
              <w:rPr>
                <w:sz w:val="24"/>
              </w:rPr>
            </w:pPr>
            <w:r>
              <w:rPr>
                <w:sz w:val="24"/>
              </w:rPr>
              <w:t>452128</w:t>
            </w:r>
          </w:p>
        </w:tc>
        <w:tc>
          <w:tcPr>
            <w:tcW w:w="1135" w:type="dxa"/>
          </w:tcPr>
          <w:p>
            <w:pPr>
              <w:pStyle w:val="TableParagraph"/>
              <w:spacing w:before="7"/>
              <w:rPr>
                <w:b/>
                <w:sz w:val="23"/>
              </w:rPr>
            </w:pPr>
          </w:p>
          <w:p>
            <w:pPr>
              <w:pStyle w:val="TableParagraph"/>
              <w:spacing w:line="263" w:lineRule="exact"/>
              <w:ind w:left="109"/>
              <w:rPr>
                <w:sz w:val="24"/>
              </w:rPr>
            </w:pPr>
            <w:r>
              <w:rPr>
                <w:sz w:val="24"/>
              </w:rPr>
              <w:t>USFS</w:t>
            </w:r>
          </w:p>
        </w:tc>
        <w:tc>
          <w:tcPr>
            <w:tcW w:w="821" w:type="dxa"/>
          </w:tcPr>
          <w:p>
            <w:pPr>
              <w:pStyle w:val="TableParagraph"/>
              <w:spacing w:before="7"/>
              <w:rPr>
                <w:b/>
                <w:sz w:val="23"/>
              </w:rPr>
            </w:pPr>
          </w:p>
          <w:p>
            <w:pPr>
              <w:pStyle w:val="TableParagraph"/>
              <w:spacing w:line="263" w:lineRule="exact"/>
              <w:ind w:left="125" w:right="178"/>
              <w:jc w:val="center"/>
              <w:rPr>
                <w:sz w:val="24"/>
              </w:rPr>
            </w:pPr>
            <w:r>
              <w:rPr>
                <w:sz w:val="24"/>
              </w:rPr>
              <w:t>47.8</w:t>
            </w:r>
          </w:p>
        </w:tc>
        <w:tc>
          <w:tcPr>
            <w:tcW w:w="1169" w:type="dxa"/>
          </w:tcPr>
          <w:p>
            <w:pPr>
              <w:pStyle w:val="TableParagraph"/>
              <w:spacing w:before="7"/>
              <w:rPr>
                <w:b/>
                <w:sz w:val="23"/>
              </w:rPr>
            </w:pPr>
          </w:p>
          <w:p>
            <w:pPr>
              <w:pStyle w:val="TableParagraph"/>
              <w:spacing w:line="263" w:lineRule="exact"/>
              <w:ind w:left="89" w:right="148"/>
              <w:jc w:val="center"/>
              <w:rPr>
                <w:sz w:val="24"/>
              </w:rPr>
            </w:pPr>
            <w:r>
              <w:rPr>
                <w:sz w:val="24"/>
              </w:rPr>
              <w:t>- 120.87</w:t>
            </w:r>
          </w:p>
        </w:tc>
        <w:tc>
          <w:tcPr>
            <w:tcW w:w="759" w:type="dxa"/>
          </w:tcPr>
          <w:p>
            <w:pPr>
              <w:pStyle w:val="TableParagraph"/>
              <w:spacing w:before="7"/>
              <w:rPr>
                <w:b/>
                <w:sz w:val="23"/>
              </w:rPr>
            </w:pPr>
          </w:p>
          <w:p>
            <w:pPr>
              <w:pStyle w:val="TableParagraph"/>
              <w:spacing w:line="263" w:lineRule="exact"/>
              <w:ind w:left="111"/>
              <w:rPr>
                <w:sz w:val="24"/>
              </w:rPr>
            </w:pPr>
            <w:r>
              <w:rPr>
                <w:sz w:val="24"/>
              </w:rPr>
              <w:t>3760</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682</w:t>
            </w:r>
          </w:p>
        </w:tc>
        <w:tc>
          <w:tcPr>
            <w:tcW w:w="2402" w:type="dxa"/>
          </w:tcPr>
          <w:p>
            <w:pPr>
              <w:pStyle w:val="TableParagraph"/>
              <w:spacing w:before="4"/>
              <w:rPr>
                <w:b/>
                <w:sz w:val="23"/>
              </w:rPr>
            </w:pPr>
          </w:p>
          <w:p>
            <w:pPr>
              <w:pStyle w:val="TableParagraph"/>
              <w:spacing w:line="263" w:lineRule="exact"/>
              <w:ind w:left="107"/>
              <w:rPr>
                <w:sz w:val="24"/>
              </w:rPr>
            </w:pPr>
            <w:r>
              <w:rPr>
                <w:sz w:val="24"/>
              </w:rPr>
              <w:t>Swauk</w:t>
            </w:r>
          </w:p>
        </w:tc>
        <w:tc>
          <w:tcPr>
            <w:tcW w:w="777" w:type="dxa"/>
          </w:tcPr>
          <w:p>
            <w:pPr>
              <w:pStyle w:val="TableParagraph"/>
              <w:spacing w:before="4"/>
              <w:rPr>
                <w:b/>
                <w:sz w:val="23"/>
              </w:rPr>
            </w:pPr>
          </w:p>
          <w:p>
            <w:pPr>
              <w:pStyle w:val="TableParagraph"/>
              <w:spacing w:line="263" w:lineRule="exact"/>
              <w:ind w:right="483"/>
              <w:jc w:val="right"/>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452219</w:t>
            </w:r>
          </w:p>
        </w:tc>
        <w:tc>
          <w:tcPr>
            <w:tcW w:w="1135" w:type="dxa"/>
          </w:tcPr>
          <w:p>
            <w:pPr>
              <w:pStyle w:val="TableParagraph"/>
              <w:spacing w:before="4"/>
              <w:rPr>
                <w:b/>
                <w:sz w:val="23"/>
              </w:rPr>
            </w:pPr>
          </w:p>
          <w:p>
            <w:pPr>
              <w:pStyle w:val="TableParagraph"/>
              <w:spacing w:line="263" w:lineRule="exact"/>
              <w:ind w:left="109"/>
              <w:rPr>
                <w:sz w:val="24"/>
              </w:rPr>
            </w:pPr>
            <w:r>
              <w:rPr>
                <w:sz w:val="24"/>
              </w:rPr>
              <w:t>USFS</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47.2</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- 120.67</w:t>
            </w:r>
          </w:p>
        </w:tc>
        <w:tc>
          <w:tcPr>
            <w:tcW w:w="759" w:type="dxa"/>
          </w:tcPr>
          <w:p>
            <w:pPr>
              <w:pStyle w:val="TableParagraph"/>
              <w:spacing w:before="4"/>
              <w:rPr>
                <w:b/>
                <w:sz w:val="23"/>
              </w:rPr>
            </w:pPr>
          </w:p>
          <w:p>
            <w:pPr>
              <w:pStyle w:val="TableParagraph"/>
              <w:spacing w:line="263" w:lineRule="exact"/>
              <w:ind w:left="111"/>
              <w:rPr>
                <w:sz w:val="24"/>
              </w:rPr>
            </w:pPr>
            <w:r>
              <w:rPr>
                <w:sz w:val="24"/>
              </w:rPr>
              <w:t>3773</w:t>
            </w:r>
          </w:p>
        </w:tc>
      </w:tr>
      <w:tr>
        <w:trPr>
          <w:trHeight w:val="551" w:hRule="atLeast"/>
        </w:trPr>
        <w:tc>
          <w:tcPr>
            <w:tcW w:w="960" w:type="dxa"/>
          </w:tcPr>
          <w:p>
            <w:pPr>
              <w:pStyle w:val="TableParagraph"/>
              <w:spacing w:before="4"/>
              <w:rPr>
                <w:b/>
                <w:sz w:val="23"/>
              </w:rPr>
            </w:pPr>
          </w:p>
          <w:p>
            <w:pPr>
              <w:pStyle w:val="TableParagraph"/>
              <w:spacing w:line="263" w:lineRule="exact"/>
              <w:ind w:left="175"/>
              <w:rPr>
                <w:sz w:val="24"/>
              </w:rPr>
            </w:pPr>
            <w:r>
              <w:rPr>
                <w:sz w:val="24"/>
              </w:rPr>
              <w:t>682</w:t>
            </w:r>
          </w:p>
        </w:tc>
        <w:tc>
          <w:tcPr>
            <w:tcW w:w="2402" w:type="dxa"/>
          </w:tcPr>
          <w:p>
            <w:pPr>
              <w:pStyle w:val="TableParagraph"/>
              <w:spacing w:before="4"/>
              <w:rPr>
                <w:b/>
                <w:sz w:val="23"/>
              </w:rPr>
            </w:pPr>
          </w:p>
          <w:p>
            <w:pPr>
              <w:pStyle w:val="TableParagraph"/>
              <w:spacing w:line="263" w:lineRule="exact"/>
              <w:ind w:left="175"/>
              <w:rPr>
                <w:sz w:val="24"/>
              </w:rPr>
            </w:pPr>
            <w:r>
              <w:rPr>
                <w:sz w:val="24"/>
              </w:rPr>
              <w:t>Dry Creek</w:t>
            </w:r>
          </w:p>
        </w:tc>
        <w:tc>
          <w:tcPr>
            <w:tcW w:w="777" w:type="dxa"/>
          </w:tcPr>
          <w:p>
            <w:pPr>
              <w:pStyle w:val="TableParagraph"/>
              <w:spacing w:before="4"/>
              <w:rPr>
                <w:b/>
                <w:sz w:val="23"/>
              </w:rPr>
            </w:pPr>
          </w:p>
          <w:p>
            <w:pPr>
              <w:pStyle w:val="TableParagraph"/>
              <w:spacing w:line="263" w:lineRule="exact"/>
              <w:ind w:right="415"/>
              <w:jc w:val="right"/>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452134</w:t>
            </w:r>
          </w:p>
        </w:tc>
        <w:tc>
          <w:tcPr>
            <w:tcW w:w="1135" w:type="dxa"/>
          </w:tcPr>
          <w:p>
            <w:pPr>
              <w:pStyle w:val="TableParagraph"/>
              <w:spacing w:before="4"/>
              <w:rPr>
                <w:b/>
                <w:sz w:val="23"/>
              </w:rPr>
            </w:pPr>
          </w:p>
          <w:p>
            <w:pPr>
              <w:pStyle w:val="TableParagraph"/>
              <w:spacing w:line="263" w:lineRule="exact"/>
              <w:ind w:left="176"/>
              <w:rPr>
                <w:sz w:val="24"/>
              </w:rPr>
            </w:pPr>
            <w:r>
              <w:rPr>
                <w:sz w:val="24"/>
              </w:rPr>
              <w:t>USFS</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47.7</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- 120.54</w:t>
            </w:r>
          </w:p>
        </w:tc>
        <w:tc>
          <w:tcPr>
            <w:tcW w:w="759" w:type="dxa"/>
          </w:tcPr>
          <w:p>
            <w:pPr>
              <w:pStyle w:val="TableParagraph"/>
              <w:spacing w:before="4"/>
              <w:rPr>
                <w:b/>
                <w:sz w:val="23"/>
              </w:rPr>
            </w:pPr>
          </w:p>
          <w:p>
            <w:pPr>
              <w:pStyle w:val="TableParagraph"/>
              <w:spacing w:line="263" w:lineRule="exact"/>
              <w:ind w:left="111"/>
              <w:rPr>
                <w:sz w:val="24"/>
              </w:rPr>
            </w:pPr>
            <w:r>
              <w:rPr>
                <w:sz w:val="24"/>
              </w:rPr>
              <w:t>3661</w:t>
            </w:r>
          </w:p>
        </w:tc>
      </w:tr>
    </w:tbl>
    <w:p>
      <w:pPr>
        <w:spacing w:after="0" w:line="263" w:lineRule="exact"/>
        <w:rPr>
          <w:sz w:val="24"/>
        </w:rPr>
        <w:sectPr>
          <w:pgSz w:w="12240" w:h="15840"/>
          <w:pgMar w:header="0" w:footer="968" w:top="1360" w:bottom="1240" w:left="340" w:right="620"/>
        </w:sectPr>
      </w:pPr>
    </w:p>
    <w:tbl>
      <w:tblPr>
        <w:tblW w:w="0" w:type="auto"/>
        <w:jc w:val="left"/>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2402"/>
        <w:gridCol w:w="777"/>
        <w:gridCol w:w="1269"/>
        <w:gridCol w:w="1135"/>
        <w:gridCol w:w="821"/>
        <w:gridCol w:w="1169"/>
        <w:gridCol w:w="759"/>
      </w:tblGrid>
      <w:tr>
        <w:trPr>
          <w:trHeight w:val="275" w:hRule="atLeast"/>
        </w:trPr>
        <w:tc>
          <w:tcPr>
            <w:tcW w:w="960" w:type="dxa"/>
          </w:tcPr>
          <w:p>
            <w:pPr>
              <w:pStyle w:val="TableParagraph"/>
              <w:rPr>
                <w:rFonts w:ascii="Times New Roman"/>
                <w:sz w:val="20"/>
              </w:rPr>
            </w:pPr>
          </w:p>
        </w:tc>
        <w:tc>
          <w:tcPr>
            <w:tcW w:w="2402" w:type="dxa"/>
          </w:tcPr>
          <w:p>
            <w:pPr>
              <w:pStyle w:val="TableParagraph"/>
              <w:rPr>
                <w:rFonts w:ascii="Times New Roman"/>
                <w:sz w:val="20"/>
              </w:rPr>
            </w:pPr>
          </w:p>
        </w:tc>
        <w:tc>
          <w:tcPr>
            <w:tcW w:w="777" w:type="dxa"/>
          </w:tcPr>
          <w:p>
            <w:pPr>
              <w:pStyle w:val="TableParagraph"/>
              <w:rPr>
                <w:rFonts w:ascii="Times New Roman"/>
                <w:sz w:val="20"/>
              </w:rPr>
            </w:pPr>
          </w:p>
        </w:tc>
        <w:tc>
          <w:tcPr>
            <w:tcW w:w="1269" w:type="dxa"/>
          </w:tcPr>
          <w:p>
            <w:pPr>
              <w:pStyle w:val="TableParagraph"/>
              <w:rPr>
                <w:rFonts w:ascii="Times New Roman"/>
                <w:sz w:val="20"/>
              </w:rPr>
            </w:pPr>
          </w:p>
        </w:tc>
        <w:tc>
          <w:tcPr>
            <w:tcW w:w="1135" w:type="dxa"/>
          </w:tcPr>
          <w:p>
            <w:pPr>
              <w:pStyle w:val="TableParagraph"/>
              <w:rPr>
                <w:rFonts w:ascii="Times New Roman"/>
                <w:sz w:val="20"/>
              </w:rPr>
            </w:pPr>
          </w:p>
        </w:tc>
        <w:tc>
          <w:tcPr>
            <w:tcW w:w="821" w:type="dxa"/>
          </w:tcPr>
          <w:p>
            <w:pPr>
              <w:pStyle w:val="TableParagraph"/>
              <w:rPr>
                <w:rFonts w:ascii="Times New Roman"/>
                <w:sz w:val="20"/>
              </w:rPr>
            </w:pPr>
          </w:p>
        </w:tc>
        <w:tc>
          <w:tcPr>
            <w:tcW w:w="1169" w:type="dxa"/>
          </w:tcPr>
          <w:p>
            <w:pPr>
              <w:pStyle w:val="TableParagraph"/>
              <w:rPr>
                <w:rFonts w:ascii="Times New Roman"/>
                <w:sz w:val="20"/>
              </w:rPr>
            </w:pPr>
          </w:p>
        </w:tc>
        <w:tc>
          <w:tcPr>
            <w:tcW w:w="759" w:type="dxa"/>
          </w:tcPr>
          <w:p>
            <w:pPr>
              <w:pStyle w:val="TableParagraph"/>
              <w:rPr>
                <w:rFonts w:ascii="Times New Roman"/>
                <w:sz w:val="20"/>
              </w:rPr>
            </w:pP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684</w:t>
            </w:r>
          </w:p>
        </w:tc>
        <w:tc>
          <w:tcPr>
            <w:tcW w:w="2402" w:type="dxa"/>
          </w:tcPr>
          <w:p>
            <w:pPr>
              <w:pStyle w:val="TableParagraph"/>
              <w:spacing w:before="4"/>
              <w:rPr>
                <w:b/>
                <w:sz w:val="23"/>
              </w:rPr>
            </w:pPr>
          </w:p>
          <w:p>
            <w:pPr>
              <w:pStyle w:val="TableParagraph"/>
              <w:spacing w:line="263" w:lineRule="exact"/>
              <w:ind w:left="107"/>
              <w:rPr>
                <w:sz w:val="24"/>
              </w:rPr>
            </w:pPr>
            <w:r>
              <w:rPr>
                <w:sz w:val="24"/>
              </w:rPr>
              <w:t>NCSB</w:t>
            </w:r>
          </w:p>
        </w:tc>
        <w:tc>
          <w:tcPr>
            <w:tcW w:w="777" w:type="dxa"/>
          </w:tcPr>
          <w:p>
            <w:pPr>
              <w:pStyle w:val="TableParagraph"/>
              <w:spacing w:before="4"/>
              <w:rPr>
                <w:b/>
                <w:sz w:val="23"/>
              </w:rPr>
            </w:pPr>
          </w:p>
          <w:p>
            <w:pPr>
              <w:pStyle w:val="TableParagraph"/>
              <w:spacing w:line="263" w:lineRule="exact"/>
              <w:ind w:left="110"/>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452030</w:t>
            </w:r>
          </w:p>
        </w:tc>
        <w:tc>
          <w:tcPr>
            <w:tcW w:w="1135" w:type="dxa"/>
          </w:tcPr>
          <w:p>
            <w:pPr>
              <w:pStyle w:val="TableParagraph"/>
              <w:spacing w:before="4"/>
              <w:rPr>
                <w:b/>
                <w:sz w:val="23"/>
              </w:rPr>
            </w:pPr>
          </w:p>
          <w:p>
            <w:pPr>
              <w:pStyle w:val="TableParagraph"/>
              <w:spacing w:line="263" w:lineRule="exact"/>
              <w:ind w:left="109"/>
              <w:rPr>
                <w:sz w:val="24"/>
              </w:rPr>
            </w:pPr>
            <w:r>
              <w:rPr>
                <w:sz w:val="24"/>
              </w:rPr>
              <w:t>USFS</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48.4</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- 120.14</w:t>
            </w:r>
          </w:p>
        </w:tc>
        <w:tc>
          <w:tcPr>
            <w:tcW w:w="759" w:type="dxa"/>
          </w:tcPr>
          <w:p>
            <w:pPr>
              <w:pStyle w:val="TableParagraph"/>
              <w:spacing w:before="4"/>
              <w:rPr>
                <w:b/>
                <w:sz w:val="23"/>
              </w:rPr>
            </w:pPr>
          </w:p>
          <w:p>
            <w:pPr>
              <w:pStyle w:val="TableParagraph"/>
              <w:spacing w:line="263" w:lineRule="exact"/>
              <w:ind w:left="91" w:right="83"/>
              <w:jc w:val="center"/>
              <w:rPr>
                <w:sz w:val="24"/>
              </w:rPr>
            </w:pPr>
            <w:r>
              <w:rPr>
                <w:sz w:val="24"/>
              </w:rPr>
              <w:t>1650</w:t>
            </w:r>
          </w:p>
        </w:tc>
      </w:tr>
      <w:tr>
        <w:trPr>
          <w:trHeight w:val="553" w:hRule="atLeast"/>
        </w:trPr>
        <w:tc>
          <w:tcPr>
            <w:tcW w:w="960" w:type="dxa"/>
          </w:tcPr>
          <w:p>
            <w:pPr>
              <w:pStyle w:val="TableParagraph"/>
              <w:spacing w:before="4"/>
              <w:rPr>
                <w:b/>
                <w:sz w:val="23"/>
              </w:rPr>
            </w:pPr>
          </w:p>
          <w:p>
            <w:pPr>
              <w:pStyle w:val="TableParagraph"/>
              <w:spacing w:line="265" w:lineRule="exact"/>
              <w:ind w:left="107"/>
              <w:rPr>
                <w:sz w:val="24"/>
              </w:rPr>
            </w:pPr>
            <w:r>
              <w:rPr>
                <w:sz w:val="24"/>
              </w:rPr>
              <w:t>684</w:t>
            </w:r>
          </w:p>
        </w:tc>
        <w:tc>
          <w:tcPr>
            <w:tcW w:w="2402" w:type="dxa"/>
          </w:tcPr>
          <w:p>
            <w:pPr>
              <w:pStyle w:val="TableParagraph"/>
              <w:spacing w:before="4"/>
              <w:rPr>
                <w:b/>
                <w:sz w:val="23"/>
              </w:rPr>
            </w:pPr>
          </w:p>
          <w:p>
            <w:pPr>
              <w:pStyle w:val="TableParagraph"/>
              <w:spacing w:line="265" w:lineRule="exact"/>
              <w:ind w:left="107"/>
              <w:rPr>
                <w:sz w:val="24"/>
              </w:rPr>
            </w:pPr>
            <w:r>
              <w:rPr>
                <w:sz w:val="24"/>
              </w:rPr>
              <w:t>Oroville</w:t>
            </w:r>
          </w:p>
        </w:tc>
        <w:tc>
          <w:tcPr>
            <w:tcW w:w="777" w:type="dxa"/>
          </w:tcPr>
          <w:p>
            <w:pPr>
              <w:pStyle w:val="TableParagraph"/>
              <w:spacing w:before="4"/>
              <w:rPr>
                <w:b/>
                <w:sz w:val="23"/>
              </w:rPr>
            </w:pPr>
          </w:p>
          <w:p>
            <w:pPr>
              <w:pStyle w:val="TableParagraph"/>
              <w:spacing w:line="265" w:lineRule="exact"/>
              <w:ind w:left="110"/>
              <w:rPr>
                <w:sz w:val="24"/>
              </w:rPr>
            </w:pPr>
            <w:r>
              <w:rPr>
                <w:w w:val="98"/>
                <w:sz w:val="24"/>
              </w:rPr>
              <w:t>R</w:t>
            </w:r>
          </w:p>
        </w:tc>
        <w:tc>
          <w:tcPr>
            <w:tcW w:w="1269" w:type="dxa"/>
          </w:tcPr>
          <w:p>
            <w:pPr>
              <w:pStyle w:val="TableParagraph"/>
              <w:spacing w:before="4"/>
              <w:rPr>
                <w:b/>
                <w:sz w:val="23"/>
              </w:rPr>
            </w:pPr>
          </w:p>
          <w:p>
            <w:pPr>
              <w:pStyle w:val="TableParagraph"/>
              <w:spacing w:line="265" w:lineRule="exact"/>
              <w:ind w:left="108"/>
              <w:rPr>
                <w:sz w:val="24"/>
              </w:rPr>
            </w:pPr>
            <w:r>
              <w:rPr>
                <w:sz w:val="24"/>
              </w:rPr>
              <w:t>452039</w:t>
            </w:r>
          </w:p>
        </w:tc>
        <w:tc>
          <w:tcPr>
            <w:tcW w:w="1135" w:type="dxa"/>
          </w:tcPr>
          <w:p>
            <w:pPr>
              <w:pStyle w:val="TableParagraph"/>
              <w:spacing w:before="4"/>
              <w:rPr>
                <w:b/>
                <w:sz w:val="23"/>
              </w:rPr>
            </w:pPr>
          </w:p>
          <w:p>
            <w:pPr>
              <w:pStyle w:val="TableParagraph"/>
              <w:spacing w:line="265" w:lineRule="exact"/>
              <w:ind w:left="109"/>
              <w:rPr>
                <w:sz w:val="24"/>
              </w:rPr>
            </w:pPr>
            <w:r>
              <w:rPr>
                <w:sz w:val="24"/>
              </w:rPr>
              <w:t>BLM</w:t>
            </w:r>
          </w:p>
        </w:tc>
        <w:tc>
          <w:tcPr>
            <w:tcW w:w="821" w:type="dxa"/>
          </w:tcPr>
          <w:p>
            <w:pPr>
              <w:pStyle w:val="TableParagraph"/>
              <w:spacing w:before="4"/>
              <w:rPr>
                <w:b/>
                <w:sz w:val="23"/>
              </w:rPr>
            </w:pPr>
          </w:p>
          <w:p>
            <w:pPr>
              <w:pStyle w:val="TableParagraph"/>
              <w:spacing w:line="265" w:lineRule="exact"/>
              <w:ind w:left="125" w:right="178"/>
              <w:jc w:val="center"/>
              <w:rPr>
                <w:sz w:val="24"/>
              </w:rPr>
            </w:pPr>
            <w:r>
              <w:rPr>
                <w:sz w:val="24"/>
              </w:rPr>
              <w:t>48.9</w:t>
            </w:r>
          </w:p>
        </w:tc>
        <w:tc>
          <w:tcPr>
            <w:tcW w:w="1169" w:type="dxa"/>
          </w:tcPr>
          <w:p>
            <w:pPr>
              <w:pStyle w:val="TableParagraph"/>
              <w:spacing w:before="7"/>
              <w:rPr>
                <w:b/>
                <w:sz w:val="23"/>
              </w:rPr>
            </w:pPr>
          </w:p>
          <w:p>
            <w:pPr>
              <w:pStyle w:val="TableParagraph"/>
              <w:spacing w:line="263" w:lineRule="exact"/>
              <w:ind w:left="89" w:right="148"/>
              <w:jc w:val="center"/>
              <w:rPr>
                <w:sz w:val="24"/>
              </w:rPr>
            </w:pPr>
            <w:r>
              <w:rPr>
                <w:sz w:val="24"/>
              </w:rPr>
              <w:t>- 119.49</w:t>
            </w:r>
          </w:p>
        </w:tc>
        <w:tc>
          <w:tcPr>
            <w:tcW w:w="759" w:type="dxa"/>
          </w:tcPr>
          <w:p>
            <w:pPr>
              <w:pStyle w:val="TableParagraph"/>
              <w:spacing w:before="4"/>
              <w:rPr>
                <w:b/>
                <w:sz w:val="23"/>
              </w:rPr>
            </w:pPr>
          </w:p>
          <w:p>
            <w:pPr>
              <w:pStyle w:val="TableParagraph"/>
              <w:spacing w:line="265" w:lineRule="exact"/>
              <w:ind w:left="91" w:right="83"/>
              <w:jc w:val="center"/>
              <w:rPr>
                <w:sz w:val="24"/>
              </w:rPr>
            </w:pPr>
            <w:r>
              <w:rPr>
                <w:sz w:val="24"/>
              </w:rPr>
              <w:t>1360</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684</w:t>
            </w:r>
          </w:p>
        </w:tc>
        <w:tc>
          <w:tcPr>
            <w:tcW w:w="2402" w:type="dxa"/>
          </w:tcPr>
          <w:p>
            <w:pPr>
              <w:pStyle w:val="TableParagraph"/>
              <w:spacing w:before="4"/>
              <w:rPr>
                <w:b/>
                <w:sz w:val="23"/>
              </w:rPr>
            </w:pPr>
          </w:p>
          <w:p>
            <w:pPr>
              <w:pStyle w:val="TableParagraph"/>
              <w:spacing w:line="263" w:lineRule="exact"/>
              <w:ind w:left="107"/>
              <w:rPr>
                <w:sz w:val="24"/>
              </w:rPr>
            </w:pPr>
            <w:r>
              <w:rPr>
                <w:sz w:val="24"/>
              </w:rPr>
              <w:t>Nespelem</w:t>
            </w:r>
          </w:p>
        </w:tc>
        <w:tc>
          <w:tcPr>
            <w:tcW w:w="777" w:type="dxa"/>
          </w:tcPr>
          <w:p>
            <w:pPr>
              <w:pStyle w:val="TableParagraph"/>
              <w:spacing w:before="4"/>
              <w:rPr>
                <w:b/>
                <w:sz w:val="23"/>
              </w:rPr>
            </w:pPr>
          </w:p>
          <w:p>
            <w:pPr>
              <w:pStyle w:val="TableParagraph"/>
              <w:spacing w:line="263" w:lineRule="exact"/>
              <w:ind w:left="110"/>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452009</w:t>
            </w:r>
          </w:p>
        </w:tc>
        <w:tc>
          <w:tcPr>
            <w:tcW w:w="1135" w:type="dxa"/>
          </w:tcPr>
          <w:p>
            <w:pPr>
              <w:pStyle w:val="TableParagraph"/>
              <w:spacing w:before="4"/>
              <w:rPr>
                <w:b/>
                <w:sz w:val="23"/>
              </w:rPr>
            </w:pPr>
          </w:p>
          <w:p>
            <w:pPr>
              <w:pStyle w:val="TableParagraph"/>
              <w:spacing w:line="263" w:lineRule="exact"/>
              <w:ind w:left="109"/>
              <w:rPr>
                <w:sz w:val="24"/>
              </w:rPr>
            </w:pPr>
            <w:r>
              <w:rPr>
                <w:sz w:val="24"/>
              </w:rPr>
              <w:t>BIA</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48.2</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- 119.02</w:t>
            </w:r>
          </w:p>
        </w:tc>
        <w:tc>
          <w:tcPr>
            <w:tcW w:w="759" w:type="dxa"/>
          </w:tcPr>
          <w:p>
            <w:pPr>
              <w:pStyle w:val="TableParagraph"/>
              <w:spacing w:before="4"/>
              <w:rPr>
                <w:b/>
                <w:sz w:val="23"/>
              </w:rPr>
            </w:pPr>
          </w:p>
          <w:p>
            <w:pPr>
              <w:pStyle w:val="TableParagraph"/>
              <w:spacing w:line="263" w:lineRule="exact"/>
              <w:ind w:left="91" w:right="83"/>
              <w:jc w:val="center"/>
              <w:rPr>
                <w:sz w:val="24"/>
              </w:rPr>
            </w:pPr>
            <w:r>
              <w:rPr>
                <w:sz w:val="24"/>
              </w:rPr>
              <w:t>1782</w:t>
            </w:r>
          </w:p>
        </w:tc>
      </w:tr>
      <w:tr>
        <w:trPr>
          <w:trHeight w:val="553" w:hRule="atLeast"/>
        </w:trPr>
        <w:tc>
          <w:tcPr>
            <w:tcW w:w="960" w:type="dxa"/>
          </w:tcPr>
          <w:p>
            <w:pPr>
              <w:pStyle w:val="TableParagraph"/>
              <w:spacing w:before="7"/>
              <w:rPr>
                <w:b/>
                <w:sz w:val="23"/>
              </w:rPr>
            </w:pPr>
          </w:p>
          <w:p>
            <w:pPr>
              <w:pStyle w:val="TableParagraph"/>
              <w:spacing w:line="263" w:lineRule="exact"/>
              <w:ind w:left="107"/>
              <w:rPr>
                <w:sz w:val="24"/>
              </w:rPr>
            </w:pPr>
            <w:r>
              <w:rPr>
                <w:sz w:val="24"/>
              </w:rPr>
              <w:t>684</w:t>
            </w:r>
          </w:p>
        </w:tc>
        <w:tc>
          <w:tcPr>
            <w:tcW w:w="2402" w:type="dxa"/>
          </w:tcPr>
          <w:p>
            <w:pPr>
              <w:pStyle w:val="TableParagraph"/>
              <w:spacing w:line="271" w:lineRule="exact"/>
              <w:ind w:left="107"/>
              <w:rPr>
                <w:sz w:val="24"/>
              </w:rPr>
            </w:pPr>
            <w:r>
              <w:rPr>
                <w:sz w:val="24"/>
              </w:rPr>
              <w:t>Douglas Ingram</w:t>
            </w:r>
          </w:p>
          <w:p>
            <w:pPr>
              <w:pStyle w:val="TableParagraph"/>
              <w:spacing w:line="263" w:lineRule="exact"/>
              <w:ind w:left="107"/>
              <w:rPr>
                <w:sz w:val="24"/>
              </w:rPr>
            </w:pPr>
            <w:r>
              <w:rPr>
                <w:sz w:val="24"/>
              </w:rPr>
              <w:t>Rdg</w:t>
            </w:r>
          </w:p>
        </w:tc>
        <w:tc>
          <w:tcPr>
            <w:tcW w:w="777" w:type="dxa"/>
          </w:tcPr>
          <w:p>
            <w:pPr>
              <w:pStyle w:val="TableParagraph"/>
              <w:spacing w:before="7"/>
              <w:rPr>
                <w:b/>
                <w:sz w:val="23"/>
              </w:rPr>
            </w:pPr>
          </w:p>
          <w:p>
            <w:pPr>
              <w:pStyle w:val="TableParagraph"/>
              <w:spacing w:line="263" w:lineRule="exact"/>
              <w:ind w:left="110"/>
              <w:rPr>
                <w:sz w:val="24"/>
              </w:rPr>
            </w:pPr>
            <w:r>
              <w:rPr>
                <w:w w:val="98"/>
                <w:sz w:val="24"/>
              </w:rPr>
              <w:t>R</w:t>
            </w:r>
          </w:p>
        </w:tc>
        <w:tc>
          <w:tcPr>
            <w:tcW w:w="1269" w:type="dxa"/>
          </w:tcPr>
          <w:p>
            <w:pPr>
              <w:pStyle w:val="TableParagraph"/>
              <w:spacing w:before="7"/>
              <w:rPr>
                <w:b/>
                <w:sz w:val="23"/>
              </w:rPr>
            </w:pPr>
          </w:p>
          <w:p>
            <w:pPr>
              <w:pStyle w:val="TableParagraph"/>
              <w:spacing w:line="263" w:lineRule="exact"/>
              <w:ind w:left="108"/>
              <w:rPr>
                <w:sz w:val="24"/>
              </w:rPr>
            </w:pPr>
            <w:r>
              <w:rPr>
                <w:sz w:val="24"/>
              </w:rPr>
              <w:t>452035</w:t>
            </w:r>
          </w:p>
        </w:tc>
        <w:tc>
          <w:tcPr>
            <w:tcW w:w="1135" w:type="dxa"/>
          </w:tcPr>
          <w:p>
            <w:pPr>
              <w:pStyle w:val="TableParagraph"/>
              <w:spacing w:before="7"/>
              <w:rPr>
                <w:b/>
                <w:sz w:val="23"/>
              </w:rPr>
            </w:pPr>
          </w:p>
          <w:p>
            <w:pPr>
              <w:pStyle w:val="TableParagraph"/>
              <w:spacing w:line="263" w:lineRule="exact"/>
              <w:ind w:left="109"/>
              <w:rPr>
                <w:sz w:val="24"/>
              </w:rPr>
            </w:pPr>
            <w:r>
              <w:rPr>
                <w:sz w:val="24"/>
              </w:rPr>
              <w:t>USFS</w:t>
            </w:r>
          </w:p>
        </w:tc>
        <w:tc>
          <w:tcPr>
            <w:tcW w:w="821" w:type="dxa"/>
          </w:tcPr>
          <w:p>
            <w:pPr>
              <w:pStyle w:val="TableParagraph"/>
              <w:spacing w:before="7"/>
              <w:rPr>
                <w:b/>
                <w:sz w:val="23"/>
              </w:rPr>
            </w:pPr>
          </w:p>
          <w:p>
            <w:pPr>
              <w:pStyle w:val="TableParagraph"/>
              <w:spacing w:line="263" w:lineRule="exact"/>
              <w:ind w:left="125" w:right="178"/>
              <w:jc w:val="center"/>
              <w:rPr>
                <w:sz w:val="24"/>
              </w:rPr>
            </w:pPr>
            <w:r>
              <w:rPr>
                <w:sz w:val="24"/>
              </w:rPr>
              <w:t>48.1</w:t>
            </w:r>
          </w:p>
        </w:tc>
        <w:tc>
          <w:tcPr>
            <w:tcW w:w="1169" w:type="dxa"/>
          </w:tcPr>
          <w:p>
            <w:pPr>
              <w:pStyle w:val="TableParagraph"/>
              <w:spacing w:before="7"/>
              <w:rPr>
                <w:b/>
                <w:sz w:val="23"/>
              </w:rPr>
            </w:pPr>
          </w:p>
          <w:p>
            <w:pPr>
              <w:pStyle w:val="TableParagraph"/>
              <w:spacing w:line="263" w:lineRule="exact"/>
              <w:ind w:left="89" w:right="148"/>
              <w:jc w:val="center"/>
              <w:rPr>
                <w:sz w:val="24"/>
              </w:rPr>
            </w:pPr>
            <w:r>
              <w:rPr>
                <w:sz w:val="24"/>
              </w:rPr>
              <w:t>- 120.10</w:t>
            </w:r>
          </w:p>
        </w:tc>
        <w:tc>
          <w:tcPr>
            <w:tcW w:w="759" w:type="dxa"/>
          </w:tcPr>
          <w:p>
            <w:pPr>
              <w:pStyle w:val="TableParagraph"/>
              <w:spacing w:before="7"/>
              <w:rPr>
                <w:b/>
                <w:sz w:val="23"/>
              </w:rPr>
            </w:pPr>
          </w:p>
          <w:p>
            <w:pPr>
              <w:pStyle w:val="TableParagraph"/>
              <w:spacing w:line="263" w:lineRule="exact"/>
              <w:ind w:left="91" w:right="83"/>
              <w:jc w:val="center"/>
              <w:rPr>
                <w:sz w:val="24"/>
              </w:rPr>
            </w:pPr>
            <w:r>
              <w:rPr>
                <w:sz w:val="24"/>
              </w:rPr>
              <w:t>3460</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684</w:t>
            </w:r>
          </w:p>
        </w:tc>
        <w:tc>
          <w:tcPr>
            <w:tcW w:w="2402" w:type="dxa"/>
          </w:tcPr>
          <w:p>
            <w:pPr>
              <w:pStyle w:val="TableParagraph"/>
              <w:spacing w:before="4"/>
              <w:rPr>
                <w:b/>
                <w:sz w:val="23"/>
              </w:rPr>
            </w:pPr>
          </w:p>
          <w:p>
            <w:pPr>
              <w:pStyle w:val="TableParagraph"/>
              <w:spacing w:line="263" w:lineRule="exact"/>
              <w:ind w:left="107"/>
              <w:rPr>
                <w:sz w:val="24"/>
              </w:rPr>
            </w:pPr>
            <w:r>
              <w:rPr>
                <w:sz w:val="24"/>
              </w:rPr>
              <w:t>Kramer</w:t>
            </w:r>
          </w:p>
        </w:tc>
        <w:tc>
          <w:tcPr>
            <w:tcW w:w="777" w:type="dxa"/>
          </w:tcPr>
          <w:p>
            <w:pPr>
              <w:pStyle w:val="TableParagraph"/>
              <w:spacing w:before="4"/>
              <w:rPr>
                <w:b/>
                <w:sz w:val="23"/>
              </w:rPr>
            </w:pPr>
          </w:p>
          <w:p>
            <w:pPr>
              <w:pStyle w:val="TableParagraph"/>
              <w:spacing w:line="263" w:lineRule="exact"/>
              <w:ind w:left="110"/>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452040</w:t>
            </w:r>
          </w:p>
        </w:tc>
        <w:tc>
          <w:tcPr>
            <w:tcW w:w="1135" w:type="dxa"/>
          </w:tcPr>
          <w:p>
            <w:pPr>
              <w:pStyle w:val="TableParagraph"/>
              <w:spacing w:before="4"/>
              <w:rPr>
                <w:b/>
                <w:sz w:val="23"/>
              </w:rPr>
            </w:pPr>
          </w:p>
          <w:p>
            <w:pPr>
              <w:pStyle w:val="TableParagraph"/>
              <w:spacing w:line="263" w:lineRule="exact"/>
              <w:ind w:left="109"/>
              <w:rPr>
                <w:sz w:val="24"/>
              </w:rPr>
            </w:pPr>
            <w:r>
              <w:rPr>
                <w:sz w:val="24"/>
              </w:rPr>
              <w:t>BIA</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48.2</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- 119.52</w:t>
            </w:r>
          </w:p>
        </w:tc>
        <w:tc>
          <w:tcPr>
            <w:tcW w:w="759" w:type="dxa"/>
          </w:tcPr>
          <w:p>
            <w:pPr>
              <w:pStyle w:val="TableParagraph"/>
              <w:spacing w:before="4"/>
              <w:rPr>
                <w:b/>
                <w:sz w:val="23"/>
              </w:rPr>
            </w:pPr>
          </w:p>
          <w:p>
            <w:pPr>
              <w:pStyle w:val="TableParagraph"/>
              <w:spacing w:line="263" w:lineRule="exact"/>
              <w:ind w:left="91" w:right="83"/>
              <w:jc w:val="center"/>
              <w:rPr>
                <w:sz w:val="24"/>
              </w:rPr>
            </w:pPr>
            <w:r>
              <w:rPr>
                <w:sz w:val="24"/>
              </w:rPr>
              <w:t>2720</w:t>
            </w:r>
          </w:p>
        </w:tc>
      </w:tr>
      <w:tr>
        <w:trPr>
          <w:trHeight w:val="275" w:hRule="atLeast"/>
        </w:trPr>
        <w:tc>
          <w:tcPr>
            <w:tcW w:w="960" w:type="dxa"/>
          </w:tcPr>
          <w:p>
            <w:pPr>
              <w:pStyle w:val="TableParagraph"/>
              <w:rPr>
                <w:rFonts w:ascii="Times New Roman"/>
                <w:sz w:val="20"/>
              </w:rPr>
            </w:pPr>
          </w:p>
        </w:tc>
        <w:tc>
          <w:tcPr>
            <w:tcW w:w="2402" w:type="dxa"/>
          </w:tcPr>
          <w:p>
            <w:pPr>
              <w:pStyle w:val="TableParagraph"/>
              <w:rPr>
                <w:rFonts w:ascii="Times New Roman"/>
                <w:sz w:val="20"/>
              </w:rPr>
            </w:pPr>
          </w:p>
        </w:tc>
        <w:tc>
          <w:tcPr>
            <w:tcW w:w="777" w:type="dxa"/>
          </w:tcPr>
          <w:p>
            <w:pPr>
              <w:pStyle w:val="TableParagraph"/>
              <w:rPr>
                <w:rFonts w:ascii="Times New Roman"/>
                <w:sz w:val="20"/>
              </w:rPr>
            </w:pPr>
          </w:p>
        </w:tc>
        <w:tc>
          <w:tcPr>
            <w:tcW w:w="1269" w:type="dxa"/>
          </w:tcPr>
          <w:p>
            <w:pPr>
              <w:pStyle w:val="TableParagraph"/>
              <w:rPr>
                <w:rFonts w:ascii="Times New Roman"/>
                <w:sz w:val="20"/>
              </w:rPr>
            </w:pPr>
          </w:p>
        </w:tc>
        <w:tc>
          <w:tcPr>
            <w:tcW w:w="1135" w:type="dxa"/>
          </w:tcPr>
          <w:p>
            <w:pPr>
              <w:pStyle w:val="TableParagraph"/>
              <w:rPr>
                <w:rFonts w:ascii="Times New Roman"/>
                <w:sz w:val="20"/>
              </w:rPr>
            </w:pPr>
          </w:p>
        </w:tc>
        <w:tc>
          <w:tcPr>
            <w:tcW w:w="821" w:type="dxa"/>
          </w:tcPr>
          <w:p>
            <w:pPr>
              <w:pStyle w:val="TableParagraph"/>
              <w:rPr>
                <w:rFonts w:ascii="Times New Roman"/>
                <w:sz w:val="20"/>
              </w:rPr>
            </w:pPr>
          </w:p>
        </w:tc>
        <w:tc>
          <w:tcPr>
            <w:tcW w:w="1169" w:type="dxa"/>
          </w:tcPr>
          <w:p>
            <w:pPr>
              <w:pStyle w:val="TableParagraph"/>
              <w:rPr>
                <w:rFonts w:ascii="Times New Roman"/>
                <w:sz w:val="20"/>
              </w:rPr>
            </w:pPr>
          </w:p>
        </w:tc>
        <w:tc>
          <w:tcPr>
            <w:tcW w:w="759" w:type="dxa"/>
          </w:tcPr>
          <w:p>
            <w:pPr>
              <w:pStyle w:val="TableParagraph"/>
              <w:rPr>
                <w:rFonts w:ascii="Times New Roman"/>
                <w:sz w:val="20"/>
              </w:rPr>
            </w:pPr>
          </w:p>
        </w:tc>
      </w:tr>
      <w:tr>
        <w:trPr>
          <w:trHeight w:val="551" w:hRule="atLeast"/>
        </w:trPr>
        <w:tc>
          <w:tcPr>
            <w:tcW w:w="960" w:type="dxa"/>
          </w:tcPr>
          <w:p>
            <w:pPr>
              <w:pStyle w:val="TableParagraph"/>
              <w:spacing w:before="7"/>
              <w:rPr>
                <w:b/>
                <w:sz w:val="23"/>
              </w:rPr>
            </w:pPr>
          </w:p>
          <w:p>
            <w:pPr>
              <w:pStyle w:val="TableParagraph"/>
              <w:spacing w:line="260" w:lineRule="exact"/>
              <w:ind w:left="107"/>
              <w:rPr>
                <w:sz w:val="24"/>
              </w:rPr>
            </w:pPr>
            <w:r>
              <w:rPr>
                <w:sz w:val="24"/>
              </w:rPr>
              <w:t>685</w:t>
            </w:r>
          </w:p>
        </w:tc>
        <w:tc>
          <w:tcPr>
            <w:tcW w:w="2402" w:type="dxa"/>
          </w:tcPr>
          <w:p>
            <w:pPr>
              <w:pStyle w:val="TableParagraph"/>
              <w:spacing w:before="7"/>
              <w:rPr>
                <w:b/>
                <w:sz w:val="23"/>
              </w:rPr>
            </w:pPr>
          </w:p>
          <w:p>
            <w:pPr>
              <w:pStyle w:val="TableParagraph"/>
              <w:spacing w:line="260" w:lineRule="exact"/>
              <w:ind w:left="107"/>
              <w:rPr>
                <w:sz w:val="24"/>
              </w:rPr>
            </w:pPr>
            <w:r>
              <w:rPr>
                <w:sz w:val="24"/>
              </w:rPr>
              <w:t>Leecher</w:t>
            </w:r>
          </w:p>
        </w:tc>
        <w:tc>
          <w:tcPr>
            <w:tcW w:w="777" w:type="dxa"/>
          </w:tcPr>
          <w:p>
            <w:pPr>
              <w:pStyle w:val="TableParagraph"/>
              <w:spacing w:before="7"/>
              <w:rPr>
                <w:b/>
                <w:sz w:val="23"/>
              </w:rPr>
            </w:pPr>
          </w:p>
          <w:p>
            <w:pPr>
              <w:pStyle w:val="TableParagraph"/>
              <w:spacing w:line="260" w:lineRule="exact"/>
              <w:ind w:left="105"/>
              <w:rPr>
                <w:sz w:val="24"/>
              </w:rPr>
            </w:pPr>
            <w:r>
              <w:rPr>
                <w:w w:val="98"/>
                <w:sz w:val="24"/>
              </w:rPr>
              <w:t>R</w:t>
            </w:r>
          </w:p>
        </w:tc>
        <w:tc>
          <w:tcPr>
            <w:tcW w:w="1269" w:type="dxa"/>
          </w:tcPr>
          <w:p>
            <w:pPr>
              <w:pStyle w:val="TableParagraph"/>
              <w:spacing w:before="7"/>
              <w:rPr>
                <w:b/>
                <w:sz w:val="23"/>
              </w:rPr>
            </w:pPr>
          </w:p>
          <w:p>
            <w:pPr>
              <w:pStyle w:val="TableParagraph"/>
              <w:spacing w:line="260" w:lineRule="exact"/>
              <w:ind w:left="108"/>
              <w:rPr>
                <w:sz w:val="24"/>
              </w:rPr>
            </w:pPr>
            <w:r>
              <w:rPr>
                <w:sz w:val="24"/>
              </w:rPr>
              <w:t>452020</w:t>
            </w:r>
          </w:p>
        </w:tc>
        <w:tc>
          <w:tcPr>
            <w:tcW w:w="1135" w:type="dxa"/>
          </w:tcPr>
          <w:p>
            <w:pPr>
              <w:pStyle w:val="TableParagraph"/>
              <w:spacing w:before="7"/>
              <w:rPr>
                <w:b/>
                <w:sz w:val="23"/>
              </w:rPr>
            </w:pPr>
          </w:p>
          <w:p>
            <w:pPr>
              <w:pStyle w:val="TableParagraph"/>
              <w:spacing w:line="260" w:lineRule="exact"/>
              <w:ind w:left="109"/>
              <w:rPr>
                <w:sz w:val="24"/>
              </w:rPr>
            </w:pPr>
            <w:r>
              <w:rPr>
                <w:sz w:val="24"/>
              </w:rPr>
              <w:t>USFS</w:t>
            </w:r>
          </w:p>
        </w:tc>
        <w:tc>
          <w:tcPr>
            <w:tcW w:w="821" w:type="dxa"/>
          </w:tcPr>
          <w:p>
            <w:pPr>
              <w:pStyle w:val="TableParagraph"/>
              <w:spacing w:before="7"/>
              <w:rPr>
                <w:b/>
                <w:sz w:val="23"/>
              </w:rPr>
            </w:pPr>
          </w:p>
          <w:p>
            <w:pPr>
              <w:pStyle w:val="TableParagraph"/>
              <w:spacing w:line="260" w:lineRule="exact"/>
              <w:ind w:left="125" w:right="178"/>
              <w:jc w:val="center"/>
              <w:rPr>
                <w:sz w:val="24"/>
              </w:rPr>
            </w:pPr>
            <w:r>
              <w:rPr>
                <w:sz w:val="24"/>
              </w:rPr>
              <w:t>48.2</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- 120.00</w:t>
            </w:r>
          </w:p>
        </w:tc>
        <w:tc>
          <w:tcPr>
            <w:tcW w:w="759" w:type="dxa"/>
          </w:tcPr>
          <w:p>
            <w:pPr>
              <w:pStyle w:val="TableParagraph"/>
              <w:spacing w:before="7"/>
              <w:rPr>
                <w:b/>
                <w:sz w:val="23"/>
              </w:rPr>
            </w:pPr>
          </w:p>
          <w:p>
            <w:pPr>
              <w:pStyle w:val="TableParagraph"/>
              <w:spacing w:line="260" w:lineRule="exact"/>
              <w:ind w:left="91" w:right="83"/>
              <w:jc w:val="center"/>
              <w:rPr>
                <w:sz w:val="24"/>
              </w:rPr>
            </w:pPr>
            <w:r>
              <w:rPr>
                <w:sz w:val="24"/>
              </w:rPr>
              <w:t>5019</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685</w:t>
            </w:r>
          </w:p>
        </w:tc>
        <w:tc>
          <w:tcPr>
            <w:tcW w:w="2402" w:type="dxa"/>
          </w:tcPr>
          <w:p>
            <w:pPr>
              <w:pStyle w:val="TableParagraph"/>
              <w:spacing w:before="4"/>
              <w:rPr>
                <w:b/>
                <w:sz w:val="23"/>
              </w:rPr>
            </w:pPr>
          </w:p>
          <w:p>
            <w:pPr>
              <w:pStyle w:val="TableParagraph"/>
              <w:spacing w:line="263" w:lineRule="exact"/>
              <w:ind w:left="107"/>
              <w:rPr>
                <w:sz w:val="24"/>
              </w:rPr>
            </w:pPr>
            <w:r>
              <w:rPr>
                <w:sz w:val="24"/>
              </w:rPr>
              <w:t>First Butte</w:t>
            </w:r>
          </w:p>
        </w:tc>
        <w:tc>
          <w:tcPr>
            <w:tcW w:w="777" w:type="dxa"/>
          </w:tcPr>
          <w:p>
            <w:pPr>
              <w:pStyle w:val="TableParagraph"/>
              <w:spacing w:before="4"/>
              <w:rPr>
                <w:b/>
                <w:sz w:val="23"/>
              </w:rPr>
            </w:pPr>
          </w:p>
          <w:p>
            <w:pPr>
              <w:pStyle w:val="TableParagraph"/>
              <w:spacing w:line="263" w:lineRule="exact"/>
              <w:ind w:left="105"/>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452006</w:t>
            </w:r>
          </w:p>
        </w:tc>
        <w:tc>
          <w:tcPr>
            <w:tcW w:w="1135" w:type="dxa"/>
          </w:tcPr>
          <w:p>
            <w:pPr>
              <w:pStyle w:val="TableParagraph"/>
              <w:spacing w:before="4"/>
              <w:rPr>
                <w:b/>
                <w:sz w:val="23"/>
              </w:rPr>
            </w:pPr>
          </w:p>
          <w:p>
            <w:pPr>
              <w:pStyle w:val="TableParagraph"/>
              <w:spacing w:line="263" w:lineRule="exact"/>
              <w:ind w:left="109"/>
              <w:rPr>
                <w:sz w:val="24"/>
              </w:rPr>
            </w:pPr>
            <w:r>
              <w:rPr>
                <w:sz w:val="24"/>
              </w:rPr>
              <w:t>USFS</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48.6</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- 120.11</w:t>
            </w:r>
          </w:p>
        </w:tc>
        <w:tc>
          <w:tcPr>
            <w:tcW w:w="759" w:type="dxa"/>
          </w:tcPr>
          <w:p>
            <w:pPr>
              <w:pStyle w:val="TableParagraph"/>
              <w:spacing w:before="4"/>
              <w:rPr>
                <w:b/>
                <w:sz w:val="23"/>
              </w:rPr>
            </w:pPr>
          </w:p>
          <w:p>
            <w:pPr>
              <w:pStyle w:val="TableParagraph"/>
              <w:spacing w:line="263" w:lineRule="exact"/>
              <w:ind w:left="91" w:right="83"/>
              <w:jc w:val="center"/>
              <w:rPr>
                <w:sz w:val="24"/>
              </w:rPr>
            </w:pPr>
            <w:r>
              <w:rPr>
                <w:sz w:val="24"/>
              </w:rPr>
              <w:t>5500</w:t>
            </w:r>
          </w:p>
        </w:tc>
      </w:tr>
      <w:tr>
        <w:trPr>
          <w:trHeight w:val="553" w:hRule="atLeast"/>
        </w:trPr>
        <w:tc>
          <w:tcPr>
            <w:tcW w:w="960" w:type="dxa"/>
          </w:tcPr>
          <w:p>
            <w:pPr>
              <w:pStyle w:val="TableParagraph"/>
              <w:spacing w:before="4"/>
              <w:rPr>
                <w:b/>
                <w:sz w:val="23"/>
              </w:rPr>
            </w:pPr>
          </w:p>
          <w:p>
            <w:pPr>
              <w:pStyle w:val="TableParagraph"/>
              <w:spacing w:line="265" w:lineRule="exact"/>
              <w:ind w:left="107"/>
              <w:rPr>
                <w:sz w:val="24"/>
              </w:rPr>
            </w:pPr>
            <w:r>
              <w:rPr>
                <w:sz w:val="24"/>
              </w:rPr>
              <w:t>685</w:t>
            </w:r>
          </w:p>
        </w:tc>
        <w:tc>
          <w:tcPr>
            <w:tcW w:w="2402" w:type="dxa"/>
          </w:tcPr>
          <w:p>
            <w:pPr>
              <w:pStyle w:val="TableParagraph"/>
              <w:spacing w:before="4"/>
              <w:rPr>
                <w:b/>
                <w:sz w:val="23"/>
              </w:rPr>
            </w:pPr>
          </w:p>
          <w:p>
            <w:pPr>
              <w:pStyle w:val="TableParagraph"/>
              <w:spacing w:line="265" w:lineRule="exact"/>
              <w:ind w:left="107"/>
              <w:rPr>
                <w:sz w:val="24"/>
              </w:rPr>
            </w:pPr>
            <w:r>
              <w:rPr>
                <w:sz w:val="24"/>
              </w:rPr>
              <w:t>Aeneas</w:t>
            </w:r>
          </w:p>
        </w:tc>
        <w:tc>
          <w:tcPr>
            <w:tcW w:w="777" w:type="dxa"/>
          </w:tcPr>
          <w:p>
            <w:pPr>
              <w:pStyle w:val="TableParagraph"/>
              <w:spacing w:before="4"/>
              <w:rPr>
                <w:b/>
                <w:sz w:val="23"/>
              </w:rPr>
            </w:pPr>
          </w:p>
          <w:p>
            <w:pPr>
              <w:pStyle w:val="TableParagraph"/>
              <w:spacing w:line="265" w:lineRule="exact"/>
              <w:ind w:left="105"/>
              <w:rPr>
                <w:sz w:val="24"/>
              </w:rPr>
            </w:pPr>
            <w:r>
              <w:rPr>
                <w:w w:val="98"/>
                <w:sz w:val="24"/>
              </w:rPr>
              <w:t>R</w:t>
            </w:r>
          </w:p>
        </w:tc>
        <w:tc>
          <w:tcPr>
            <w:tcW w:w="1269" w:type="dxa"/>
          </w:tcPr>
          <w:p>
            <w:pPr>
              <w:pStyle w:val="TableParagraph"/>
              <w:spacing w:before="4"/>
              <w:rPr>
                <w:b/>
                <w:sz w:val="23"/>
              </w:rPr>
            </w:pPr>
          </w:p>
          <w:p>
            <w:pPr>
              <w:pStyle w:val="TableParagraph"/>
              <w:spacing w:line="265" w:lineRule="exact"/>
              <w:ind w:left="108"/>
              <w:rPr>
                <w:sz w:val="24"/>
              </w:rPr>
            </w:pPr>
            <w:r>
              <w:rPr>
                <w:sz w:val="24"/>
              </w:rPr>
              <w:t>452001</w:t>
            </w:r>
          </w:p>
        </w:tc>
        <w:tc>
          <w:tcPr>
            <w:tcW w:w="1135" w:type="dxa"/>
          </w:tcPr>
          <w:p>
            <w:pPr>
              <w:pStyle w:val="TableParagraph"/>
              <w:spacing w:before="4"/>
              <w:rPr>
                <w:b/>
                <w:sz w:val="23"/>
              </w:rPr>
            </w:pPr>
          </w:p>
          <w:p>
            <w:pPr>
              <w:pStyle w:val="TableParagraph"/>
              <w:spacing w:line="265" w:lineRule="exact"/>
              <w:ind w:left="109"/>
              <w:rPr>
                <w:sz w:val="24"/>
              </w:rPr>
            </w:pPr>
            <w:r>
              <w:rPr>
                <w:sz w:val="24"/>
              </w:rPr>
              <w:t>DNR</w:t>
            </w:r>
          </w:p>
        </w:tc>
        <w:tc>
          <w:tcPr>
            <w:tcW w:w="821" w:type="dxa"/>
          </w:tcPr>
          <w:p>
            <w:pPr>
              <w:pStyle w:val="TableParagraph"/>
              <w:spacing w:before="4"/>
              <w:rPr>
                <w:b/>
                <w:sz w:val="23"/>
              </w:rPr>
            </w:pPr>
          </w:p>
          <w:p>
            <w:pPr>
              <w:pStyle w:val="TableParagraph"/>
              <w:spacing w:line="265" w:lineRule="exact"/>
              <w:ind w:left="125" w:right="178"/>
              <w:jc w:val="center"/>
              <w:rPr>
                <w:sz w:val="24"/>
              </w:rPr>
            </w:pPr>
            <w:r>
              <w:rPr>
                <w:sz w:val="24"/>
              </w:rPr>
              <w:t>48.7</w:t>
            </w:r>
          </w:p>
        </w:tc>
        <w:tc>
          <w:tcPr>
            <w:tcW w:w="1169" w:type="dxa"/>
          </w:tcPr>
          <w:p>
            <w:pPr>
              <w:pStyle w:val="TableParagraph"/>
              <w:spacing w:before="7"/>
              <w:rPr>
                <w:b/>
                <w:sz w:val="23"/>
              </w:rPr>
            </w:pPr>
          </w:p>
          <w:p>
            <w:pPr>
              <w:pStyle w:val="TableParagraph"/>
              <w:spacing w:line="263" w:lineRule="exact"/>
              <w:ind w:left="89" w:right="148"/>
              <w:jc w:val="center"/>
              <w:rPr>
                <w:sz w:val="24"/>
              </w:rPr>
            </w:pPr>
            <w:r>
              <w:rPr>
                <w:sz w:val="24"/>
              </w:rPr>
              <w:t>- 119.62</w:t>
            </w:r>
          </w:p>
        </w:tc>
        <w:tc>
          <w:tcPr>
            <w:tcW w:w="759" w:type="dxa"/>
          </w:tcPr>
          <w:p>
            <w:pPr>
              <w:pStyle w:val="TableParagraph"/>
              <w:spacing w:before="4"/>
              <w:rPr>
                <w:b/>
                <w:sz w:val="23"/>
              </w:rPr>
            </w:pPr>
          </w:p>
          <w:p>
            <w:pPr>
              <w:pStyle w:val="TableParagraph"/>
              <w:spacing w:line="265" w:lineRule="exact"/>
              <w:ind w:left="91" w:right="83"/>
              <w:jc w:val="center"/>
              <w:rPr>
                <w:sz w:val="24"/>
              </w:rPr>
            </w:pPr>
            <w:r>
              <w:rPr>
                <w:sz w:val="24"/>
              </w:rPr>
              <w:t>5185</w:t>
            </w:r>
          </w:p>
        </w:tc>
      </w:tr>
      <w:tr>
        <w:trPr>
          <w:trHeight w:val="277" w:hRule="atLeast"/>
        </w:trPr>
        <w:tc>
          <w:tcPr>
            <w:tcW w:w="960" w:type="dxa"/>
          </w:tcPr>
          <w:p>
            <w:pPr>
              <w:pStyle w:val="TableParagraph"/>
              <w:rPr>
                <w:rFonts w:ascii="Times New Roman"/>
                <w:sz w:val="20"/>
              </w:rPr>
            </w:pPr>
          </w:p>
        </w:tc>
        <w:tc>
          <w:tcPr>
            <w:tcW w:w="2402" w:type="dxa"/>
          </w:tcPr>
          <w:p>
            <w:pPr>
              <w:pStyle w:val="TableParagraph"/>
              <w:rPr>
                <w:rFonts w:ascii="Times New Roman"/>
                <w:sz w:val="20"/>
              </w:rPr>
            </w:pPr>
          </w:p>
        </w:tc>
        <w:tc>
          <w:tcPr>
            <w:tcW w:w="777" w:type="dxa"/>
          </w:tcPr>
          <w:p>
            <w:pPr>
              <w:pStyle w:val="TableParagraph"/>
              <w:rPr>
                <w:rFonts w:ascii="Times New Roman"/>
                <w:sz w:val="20"/>
              </w:rPr>
            </w:pPr>
          </w:p>
        </w:tc>
        <w:tc>
          <w:tcPr>
            <w:tcW w:w="1269" w:type="dxa"/>
          </w:tcPr>
          <w:p>
            <w:pPr>
              <w:pStyle w:val="TableParagraph"/>
              <w:rPr>
                <w:rFonts w:ascii="Times New Roman"/>
                <w:sz w:val="20"/>
              </w:rPr>
            </w:pPr>
          </w:p>
        </w:tc>
        <w:tc>
          <w:tcPr>
            <w:tcW w:w="1135" w:type="dxa"/>
          </w:tcPr>
          <w:p>
            <w:pPr>
              <w:pStyle w:val="TableParagraph"/>
              <w:rPr>
                <w:rFonts w:ascii="Times New Roman"/>
                <w:sz w:val="20"/>
              </w:rPr>
            </w:pPr>
          </w:p>
        </w:tc>
        <w:tc>
          <w:tcPr>
            <w:tcW w:w="821" w:type="dxa"/>
          </w:tcPr>
          <w:p>
            <w:pPr>
              <w:pStyle w:val="TableParagraph"/>
              <w:rPr>
                <w:rFonts w:ascii="Times New Roman"/>
                <w:sz w:val="20"/>
              </w:rPr>
            </w:pPr>
          </w:p>
        </w:tc>
        <w:tc>
          <w:tcPr>
            <w:tcW w:w="1169" w:type="dxa"/>
          </w:tcPr>
          <w:p>
            <w:pPr>
              <w:pStyle w:val="TableParagraph"/>
              <w:rPr>
                <w:rFonts w:ascii="Times New Roman"/>
                <w:sz w:val="20"/>
              </w:rPr>
            </w:pPr>
          </w:p>
        </w:tc>
        <w:tc>
          <w:tcPr>
            <w:tcW w:w="759" w:type="dxa"/>
          </w:tcPr>
          <w:p>
            <w:pPr>
              <w:pStyle w:val="TableParagraph"/>
              <w:rPr>
                <w:rFonts w:ascii="Times New Roman"/>
                <w:sz w:val="20"/>
              </w:rPr>
            </w:pP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686</w:t>
            </w:r>
          </w:p>
        </w:tc>
        <w:tc>
          <w:tcPr>
            <w:tcW w:w="2402" w:type="dxa"/>
          </w:tcPr>
          <w:p>
            <w:pPr>
              <w:pStyle w:val="TableParagraph"/>
              <w:spacing w:before="4"/>
              <w:rPr>
                <w:b/>
                <w:sz w:val="23"/>
              </w:rPr>
            </w:pPr>
          </w:p>
          <w:p>
            <w:pPr>
              <w:pStyle w:val="TableParagraph"/>
              <w:spacing w:line="263" w:lineRule="exact"/>
              <w:ind w:left="107"/>
              <w:rPr>
                <w:sz w:val="24"/>
              </w:rPr>
            </w:pPr>
            <w:r>
              <w:rPr>
                <w:sz w:val="24"/>
              </w:rPr>
              <w:t>Midnite Mine</w:t>
            </w:r>
          </w:p>
        </w:tc>
        <w:tc>
          <w:tcPr>
            <w:tcW w:w="777" w:type="dxa"/>
          </w:tcPr>
          <w:p>
            <w:pPr>
              <w:pStyle w:val="TableParagraph"/>
              <w:spacing w:before="4"/>
              <w:rPr>
                <w:b/>
                <w:sz w:val="23"/>
              </w:rPr>
            </w:pPr>
          </w:p>
          <w:p>
            <w:pPr>
              <w:pStyle w:val="TableParagraph"/>
              <w:spacing w:line="263" w:lineRule="exact"/>
              <w:ind w:left="105"/>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452913</w:t>
            </w:r>
          </w:p>
        </w:tc>
        <w:tc>
          <w:tcPr>
            <w:tcW w:w="1135" w:type="dxa"/>
          </w:tcPr>
          <w:p>
            <w:pPr>
              <w:pStyle w:val="TableParagraph"/>
              <w:spacing w:before="4"/>
              <w:rPr>
                <w:b/>
                <w:sz w:val="23"/>
              </w:rPr>
            </w:pPr>
          </w:p>
          <w:p>
            <w:pPr>
              <w:pStyle w:val="TableParagraph"/>
              <w:spacing w:line="263" w:lineRule="exact"/>
              <w:ind w:left="109"/>
              <w:rPr>
                <w:sz w:val="24"/>
              </w:rPr>
            </w:pPr>
            <w:r>
              <w:rPr>
                <w:sz w:val="24"/>
              </w:rPr>
              <w:t>BLM</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47.9</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- 118.09</w:t>
            </w:r>
          </w:p>
        </w:tc>
        <w:tc>
          <w:tcPr>
            <w:tcW w:w="759" w:type="dxa"/>
          </w:tcPr>
          <w:p>
            <w:pPr>
              <w:pStyle w:val="TableParagraph"/>
              <w:spacing w:before="4"/>
              <w:rPr>
                <w:b/>
                <w:sz w:val="23"/>
              </w:rPr>
            </w:pPr>
          </w:p>
          <w:p>
            <w:pPr>
              <w:pStyle w:val="TableParagraph"/>
              <w:spacing w:line="263" w:lineRule="exact"/>
              <w:ind w:left="91" w:right="83"/>
              <w:jc w:val="center"/>
              <w:rPr>
                <w:sz w:val="24"/>
              </w:rPr>
            </w:pPr>
            <w:r>
              <w:rPr>
                <w:sz w:val="24"/>
              </w:rPr>
              <w:t>2693</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686</w:t>
            </w:r>
          </w:p>
        </w:tc>
        <w:tc>
          <w:tcPr>
            <w:tcW w:w="2402" w:type="dxa"/>
          </w:tcPr>
          <w:p>
            <w:pPr>
              <w:pStyle w:val="TableParagraph"/>
              <w:spacing w:before="4"/>
              <w:rPr>
                <w:b/>
                <w:sz w:val="23"/>
              </w:rPr>
            </w:pPr>
          </w:p>
          <w:p>
            <w:pPr>
              <w:pStyle w:val="TableParagraph"/>
              <w:spacing w:line="263" w:lineRule="exact"/>
              <w:ind w:left="107"/>
              <w:rPr>
                <w:sz w:val="24"/>
              </w:rPr>
            </w:pPr>
            <w:r>
              <w:rPr>
                <w:sz w:val="24"/>
              </w:rPr>
              <w:t>Pal Moore Orchard</w:t>
            </w:r>
          </w:p>
        </w:tc>
        <w:tc>
          <w:tcPr>
            <w:tcW w:w="777" w:type="dxa"/>
          </w:tcPr>
          <w:p>
            <w:pPr>
              <w:pStyle w:val="TableParagraph"/>
              <w:spacing w:before="4"/>
              <w:rPr>
                <w:b/>
                <w:sz w:val="23"/>
              </w:rPr>
            </w:pPr>
          </w:p>
          <w:p>
            <w:pPr>
              <w:pStyle w:val="TableParagraph"/>
              <w:spacing w:line="263" w:lineRule="exact"/>
              <w:ind w:left="105"/>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452915</w:t>
            </w:r>
          </w:p>
        </w:tc>
        <w:tc>
          <w:tcPr>
            <w:tcW w:w="1135" w:type="dxa"/>
          </w:tcPr>
          <w:p>
            <w:pPr>
              <w:pStyle w:val="TableParagraph"/>
              <w:spacing w:before="4"/>
              <w:rPr>
                <w:b/>
                <w:sz w:val="23"/>
              </w:rPr>
            </w:pPr>
          </w:p>
          <w:p>
            <w:pPr>
              <w:pStyle w:val="TableParagraph"/>
              <w:spacing w:line="263" w:lineRule="exact"/>
              <w:ind w:left="109"/>
              <w:rPr>
                <w:sz w:val="24"/>
              </w:rPr>
            </w:pPr>
            <w:r>
              <w:rPr>
                <w:sz w:val="24"/>
              </w:rPr>
              <w:t>USFS</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48.3</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- 117.43</w:t>
            </w:r>
          </w:p>
        </w:tc>
        <w:tc>
          <w:tcPr>
            <w:tcW w:w="759" w:type="dxa"/>
          </w:tcPr>
          <w:p>
            <w:pPr>
              <w:pStyle w:val="TableParagraph"/>
              <w:spacing w:before="4"/>
              <w:rPr>
                <w:b/>
                <w:sz w:val="23"/>
              </w:rPr>
            </w:pPr>
          </w:p>
          <w:p>
            <w:pPr>
              <w:pStyle w:val="TableParagraph"/>
              <w:spacing w:line="263" w:lineRule="exact"/>
              <w:ind w:left="91" w:right="83"/>
              <w:jc w:val="center"/>
              <w:rPr>
                <w:sz w:val="24"/>
              </w:rPr>
            </w:pPr>
            <w:r>
              <w:rPr>
                <w:sz w:val="24"/>
              </w:rPr>
              <w:t>3120</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686</w:t>
            </w:r>
          </w:p>
        </w:tc>
        <w:tc>
          <w:tcPr>
            <w:tcW w:w="2402" w:type="dxa"/>
          </w:tcPr>
          <w:p>
            <w:pPr>
              <w:pStyle w:val="TableParagraph"/>
              <w:spacing w:before="4"/>
              <w:rPr>
                <w:b/>
                <w:sz w:val="23"/>
              </w:rPr>
            </w:pPr>
          </w:p>
          <w:p>
            <w:pPr>
              <w:pStyle w:val="TableParagraph"/>
              <w:spacing w:line="263" w:lineRule="exact"/>
              <w:ind w:left="107"/>
              <w:rPr>
                <w:sz w:val="24"/>
              </w:rPr>
            </w:pPr>
            <w:r>
              <w:rPr>
                <w:sz w:val="24"/>
              </w:rPr>
              <w:t>Kettle Falls</w:t>
            </w:r>
          </w:p>
        </w:tc>
        <w:tc>
          <w:tcPr>
            <w:tcW w:w="777" w:type="dxa"/>
          </w:tcPr>
          <w:p>
            <w:pPr>
              <w:pStyle w:val="TableParagraph"/>
              <w:spacing w:before="4"/>
              <w:rPr>
                <w:b/>
                <w:sz w:val="23"/>
              </w:rPr>
            </w:pPr>
          </w:p>
          <w:p>
            <w:pPr>
              <w:pStyle w:val="TableParagraph"/>
              <w:spacing w:line="263" w:lineRule="exact"/>
              <w:ind w:left="105"/>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452916</w:t>
            </w:r>
          </w:p>
        </w:tc>
        <w:tc>
          <w:tcPr>
            <w:tcW w:w="1135" w:type="dxa"/>
          </w:tcPr>
          <w:p>
            <w:pPr>
              <w:pStyle w:val="TableParagraph"/>
              <w:spacing w:before="4"/>
              <w:rPr>
                <w:b/>
                <w:sz w:val="23"/>
              </w:rPr>
            </w:pPr>
          </w:p>
          <w:p>
            <w:pPr>
              <w:pStyle w:val="TableParagraph"/>
              <w:spacing w:line="263" w:lineRule="exact"/>
              <w:ind w:left="109"/>
              <w:rPr>
                <w:sz w:val="24"/>
              </w:rPr>
            </w:pPr>
            <w:r>
              <w:rPr>
                <w:sz w:val="24"/>
              </w:rPr>
              <w:t>NPS</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48.6</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- 118.12</w:t>
            </w:r>
          </w:p>
        </w:tc>
        <w:tc>
          <w:tcPr>
            <w:tcW w:w="759" w:type="dxa"/>
          </w:tcPr>
          <w:p>
            <w:pPr>
              <w:pStyle w:val="TableParagraph"/>
              <w:spacing w:before="4"/>
              <w:rPr>
                <w:b/>
                <w:sz w:val="23"/>
              </w:rPr>
            </w:pPr>
          </w:p>
          <w:p>
            <w:pPr>
              <w:pStyle w:val="TableParagraph"/>
              <w:spacing w:line="263" w:lineRule="exact"/>
              <w:ind w:left="91" w:right="83"/>
              <w:jc w:val="center"/>
              <w:rPr>
                <w:sz w:val="24"/>
              </w:rPr>
            </w:pPr>
            <w:r>
              <w:rPr>
                <w:sz w:val="24"/>
              </w:rPr>
              <w:t>1310</w:t>
            </w:r>
          </w:p>
        </w:tc>
      </w:tr>
      <w:tr>
        <w:trPr>
          <w:trHeight w:val="551" w:hRule="atLeast"/>
        </w:trPr>
        <w:tc>
          <w:tcPr>
            <w:tcW w:w="960" w:type="dxa"/>
          </w:tcPr>
          <w:p>
            <w:pPr>
              <w:pStyle w:val="TableParagraph"/>
              <w:spacing w:before="7"/>
              <w:rPr>
                <w:b/>
                <w:sz w:val="23"/>
              </w:rPr>
            </w:pPr>
          </w:p>
          <w:p>
            <w:pPr>
              <w:pStyle w:val="TableParagraph"/>
              <w:spacing w:line="260" w:lineRule="exact"/>
              <w:ind w:left="107"/>
              <w:rPr>
                <w:sz w:val="24"/>
              </w:rPr>
            </w:pPr>
            <w:r>
              <w:rPr>
                <w:sz w:val="24"/>
              </w:rPr>
              <w:t>686</w:t>
            </w:r>
          </w:p>
        </w:tc>
        <w:tc>
          <w:tcPr>
            <w:tcW w:w="2402" w:type="dxa"/>
          </w:tcPr>
          <w:p>
            <w:pPr>
              <w:pStyle w:val="TableParagraph"/>
              <w:spacing w:before="7"/>
              <w:rPr>
                <w:b/>
                <w:sz w:val="23"/>
              </w:rPr>
            </w:pPr>
          </w:p>
          <w:p>
            <w:pPr>
              <w:pStyle w:val="TableParagraph"/>
              <w:spacing w:line="260" w:lineRule="exact"/>
              <w:ind w:left="107"/>
              <w:rPr>
                <w:sz w:val="24"/>
              </w:rPr>
            </w:pPr>
            <w:r>
              <w:rPr>
                <w:sz w:val="24"/>
              </w:rPr>
              <w:t>Tacoma Creek</w:t>
            </w:r>
          </w:p>
        </w:tc>
        <w:tc>
          <w:tcPr>
            <w:tcW w:w="777" w:type="dxa"/>
          </w:tcPr>
          <w:p>
            <w:pPr>
              <w:pStyle w:val="TableParagraph"/>
              <w:spacing w:before="7"/>
              <w:rPr>
                <w:b/>
                <w:sz w:val="23"/>
              </w:rPr>
            </w:pPr>
          </w:p>
          <w:p>
            <w:pPr>
              <w:pStyle w:val="TableParagraph"/>
              <w:spacing w:line="260" w:lineRule="exact"/>
              <w:ind w:left="105"/>
              <w:rPr>
                <w:sz w:val="24"/>
              </w:rPr>
            </w:pPr>
            <w:r>
              <w:rPr>
                <w:w w:val="98"/>
                <w:sz w:val="24"/>
              </w:rPr>
              <w:t>R</w:t>
            </w:r>
          </w:p>
        </w:tc>
        <w:tc>
          <w:tcPr>
            <w:tcW w:w="1269" w:type="dxa"/>
          </w:tcPr>
          <w:p>
            <w:pPr>
              <w:pStyle w:val="TableParagraph"/>
              <w:spacing w:before="7"/>
              <w:rPr>
                <w:b/>
                <w:sz w:val="23"/>
              </w:rPr>
            </w:pPr>
          </w:p>
          <w:p>
            <w:pPr>
              <w:pStyle w:val="TableParagraph"/>
              <w:spacing w:line="260" w:lineRule="exact"/>
              <w:ind w:left="108"/>
              <w:rPr>
                <w:sz w:val="24"/>
              </w:rPr>
            </w:pPr>
            <w:r>
              <w:rPr>
                <w:sz w:val="24"/>
              </w:rPr>
              <w:t>453413</w:t>
            </w:r>
          </w:p>
        </w:tc>
        <w:tc>
          <w:tcPr>
            <w:tcW w:w="1135" w:type="dxa"/>
          </w:tcPr>
          <w:p>
            <w:pPr>
              <w:pStyle w:val="TableParagraph"/>
              <w:spacing w:before="7"/>
              <w:rPr>
                <w:b/>
                <w:sz w:val="23"/>
              </w:rPr>
            </w:pPr>
          </w:p>
          <w:p>
            <w:pPr>
              <w:pStyle w:val="TableParagraph"/>
              <w:spacing w:line="260" w:lineRule="exact"/>
              <w:ind w:left="109"/>
              <w:rPr>
                <w:sz w:val="24"/>
              </w:rPr>
            </w:pPr>
            <w:r>
              <w:rPr>
                <w:sz w:val="24"/>
              </w:rPr>
              <w:t>USFS</w:t>
            </w:r>
          </w:p>
        </w:tc>
        <w:tc>
          <w:tcPr>
            <w:tcW w:w="821" w:type="dxa"/>
          </w:tcPr>
          <w:p>
            <w:pPr>
              <w:pStyle w:val="TableParagraph"/>
              <w:spacing w:before="7"/>
              <w:rPr>
                <w:b/>
                <w:sz w:val="23"/>
              </w:rPr>
            </w:pPr>
          </w:p>
          <w:p>
            <w:pPr>
              <w:pStyle w:val="TableParagraph"/>
              <w:spacing w:line="260" w:lineRule="exact"/>
              <w:ind w:left="125" w:right="178"/>
              <w:jc w:val="center"/>
              <w:rPr>
                <w:sz w:val="24"/>
              </w:rPr>
            </w:pPr>
            <w:r>
              <w:rPr>
                <w:sz w:val="24"/>
              </w:rPr>
              <w:t>48.4</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- 117.43</w:t>
            </w:r>
          </w:p>
        </w:tc>
        <w:tc>
          <w:tcPr>
            <w:tcW w:w="759" w:type="dxa"/>
          </w:tcPr>
          <w:p>
            <w:pPr>
              <w:pStyle w:val="TableParagraph"/>
              <w:spacing w:before="7"/>
              <w:rPr>
                <w:b/>
                <w:sz w:val="23"/>
              </w:rPr>
            </w:pPr>
          </w:p>
          <w:p>
            <w:pPr>
              <w:pStyle w:val="TableParagraph"/>
              <w:spacing w:line="260" w:lineRule="exact"/>
              <w:ind w:left="91" w:right="83"/>
              <w:jc w:val="center"/>
              <w:rPr>
                <w:sz w:val="24"/>
              </w:rPr>
            </w:pPr>
            <w:r>
              <w:rPr>
                <w:sz w:val="24"/>
              </w:rPr>
              <w:t>3300</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686</w:t>
            </w:r>
          </w:p>
        </w:tc>
        <w:tc>
          <w:tcPr>
            <w:tcW w:w="2402" w:type="dxa"/>
          </w:tcPr>
          <w:p>
            <w:pPr>
              <w:pStyle w:val="TableParagraph"/>
              <w:spacing w:before="4"/>
              <w:rPr>
                <w:b/>
                <w:sz w:val="23"/>
              </w:rPr>
            </w:pPr>
          </w:p>
          <w:p>
            <w:pPr>
              <w:pStyle w:val="TableParagraph"/>
              <w:spacing w:line="263" w:lineRule="exact"/>
              <w:ind w:left="107"/>
              <w:rPr>
                <w:sz w:val="24"/>
              </w:rPr>
            </w:pPr>
            <w:r>
              <w:rPr>
                <w:sz w:val="24"/>
              </w:rPr>
              <w:t>Little Pend Oreille</w:t>
            </w:r>
          </w:p>
        </w:tc>
        <w:tc>
          <w:tcPr>
            <w:tcW w:w="777" w:type="dxa"/>
          </w:tcPr>
          <w:p>
            <w:pPr>
              <w:pStyle w:val="TableParagraph"/>
              <w:spacing w:before="4"/>
              <w:rPr>
                <w:b/>
                <w:sz w:val="23"/>
              </w:rPr>
            </w:pPr>
          </w:p>
          <w:p>
            <w:pPr>
              <w:pStyle w:val="TableParagraph"/>
              <w:spacing w:line="263" w:lineRule="exact"/>
              <w:ind w:left="105"/>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453416</w:t>
            </w:r>
          </w:p>
        </w:tc>
        <w:tc>
          <w:tcPr>
            <w:tcW w:w="1135" w:type="dxa"/>
          </w:tcPr>
          <w:p>
            <w:pPr>
              <w:pStyle w:val="TableParagraph"/>
              <w:spacing w:before="4"/>
              <w:rPr>
                <w:b/>
                <w:sz w:val="23"/>
              </w:rPr>
            </w:pPr>
          </w:p>
          <w:p>
            <w:pPr>
              <w:pStyle w:val="TableParagraph"/>
              <w:spacing w:line="263" w:lineRule="exact"/>
              <w:ind w:left="109"/>
              <w:rPr>
                <w:sz w:val="24"/>
              </w:rPr>
            </w:pPr>
            <w:r>
              <w:rPr>
                <w:sz w:val="24"/>
              </w:rPr>
              <w:t>FWS</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48.2</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- 117.43</w:t>
            </w:r>
          </w:p>
        </w:tc>
        <w:tc>
          <w:tcPr>
            <w:tcW w:w="759" w:type="dxa"/>
          </w:tcPr>
          <w:p>
            <w:pPr>
              <w:pStyle w:val="TableParagraph"/>
              <w:spacing w:before="4"/>
              <w:rPr>
                <w:b/>
                <w:sz w:val="23"/>
              </w:rPr>
            </w:pPr>
          </w:p>
          <w:p>
            <w:pPr>
              <w:pStyle w:val="TableParagraph"/>
              <w:spacing w:line="263" w:lineRule="exact"/>
              <w:ind w:left="91" w:right="83"/>
              <w:jc w:val="center"/>
              <w:rPr>
                <w:sz w:val="24"/>
              </w:rPr>
            </w:pPr>
            <w:r>
              <w:rPr>
                <w:sz w:val="24"/>
              </w:rPr>
              <w:t>2020</w:t>
            </w:r>
          </w:p>
        </w:tc>
      </w:tr>
      <w:tr>
        <w:trPr>
          <w:trHeight w:val="554" w:hRule="atLeast"/>
        </w:trPr>
        <w:tc>
          <w:tcPr>
            <w:tcW w:w="960" w:type="dxa"/>
          </w:tcPr>
          <w:p>
            <w:pPr>
              <w:pStyle w:val="TableParagraph"/>
              <w:spacing w:before="4"/>
              <w:rPr>
                <w:b/>
                <w:sz w:val="23"/>
              </w:rPr>
            </w:pPr>
          </w:p>
          <w:p>
            <w:pPr>
              <w:pStyle w:val="TableParagraph"/>
              <w:spacing w:line="265" w:lineRule="exact"/>
              <w:ind w:left="107"/>
              <w:rPr>
                <w:sz w:val="24"/>
              </w:rPr>
            </w:pPr>
            <w:r>
              <w:rPr>
                <w:sz w:val="24"/>
              </w:rPr>
              <w:t>686</w:t>
            </w:r>
          </w:p>
        </w:tc>
        <w:tc>
          <w:tcPr>
            <w:tcW w:w="2402" w:type="dxa"/>
          </w:tcPr>
          <w:p>
            <w:pPr>
              <w:pStyle w:val="TableParagraph"/>
              <w:spacing w:before="4"/>
              <w:rPr>
                <w:b/>
                <w:sz w:val="23"/>
              </w:rPr>
            </w:pPr>
          </w:p>
          <w:p>
            <w:pPr>
              <w:pStyle w:val="TableParagraph"/>
              <w:spacing w:line="265" w:lineRule="exact"/>
              <w:ind w:left="107"/>
              <w:rPr>
                <w:sz w:val="24"/>
              </w:rPr>
            </w:pPr>
            <w:r>
              <w:rPr>
                <w:sz w:val="24"/>
              </w:rPr>
              <w:t>Deer Mountain</w:t>
            </w:r>
          </w:p>
        </w:tc>
        <w:tc>
          <w:tcPr>
            <w:tcW w:w="777" w:type="dxa"/>
          </w:tcPr>
          <w:p>
            <w:pPr>
              <w:pStyle w:val="TableParagraph"/>
              <w:spacing w:before="4"/>
              <w:rPr>
                <w:b/>
                <w:sz w:val="23"/>
              </w:rPr>
            </w:pPr>
          </w:p>
          <w:p>
            <w:pPr>
              <w:pStyle w:val="TableParagraph"/>
              <w:spacing w:line="265" w:lineRule="exact"/>
              <w:ind w:left="105"/>
              <w:rPr>
                <w:sz w:val="24"/>
              </w:rPr>
            </w:pPr>
            <w:r>
              <w:rPr>
                <w:w w:val="98"/>
                <w:sz w:val="24"/>
              </w:rPr>
              <w:t>R</w:t>
            </w:r>
          </w:p>
        </w:tc>
        <w:tc>
          <w:tcPr>
            <w:tcW w:w="1269" w:type="dxa"/>
          </w:tcPr>
          <w:p>
            <w:pPr>
              <w:pStyle w:val="TableParagraph"/>
              <w:spacing w:before="4"/>
              <w:rPr>
                <w:b/>
                <w:sz w:val="23"/>
              </w:rPr>
            </w:pPr>
          </w:p>
          <w:p>
            <w:pPr>
              <w:pStyle w:val="TableParagraph"/>
              <w:spacing w:line="265" w:lineRule="exact"/>
              <w:ind w:left="108"/>
              <w:rPr>
                <w:sz w:val="24"/>
              </w:rPr>
            </w:pPr>
            <w:r>
              <w:rPr>
                <w:sz w:val="24"/>
              </w:rPr>
              <w:t>453412</w:t>
            </w:r>
          </w:p>
        </w:tc>
        <w:tc>
          <w:tcPr>
            <w:tcW w:w="1135" w:type="dxa"/>
          </w:tcPr>
          <w:p>
            <w:pPr>
              <w:pStyle w:val="TableParagraph"/>
              <w:spacing w:before="4"/>
              <w:rPr>
                <w:b/>
                <w:sz w:val="23"/>
              </w:rPr>
            </w:pPr>
          </w:p>
          <w:p>
            <w:pPr>
              <w:pStyle w:val="TableParagraph"/>
              <w:spacing w:line="265" w:lineRule="exact"/>
              <w:ind w:left="109"/>
              <w:rPr>
                <w:sz w:val="24"/>
              </w:rPr>
            </w:pPr>
            <w:r>
              <w:rPr>
                <w:sz w:val="24"/>
              </w:rPr>
              <w:t>USFS</w:t>
            </w:r>
          </w:p>
        </w:tc>
        <w:tc>
          <w:tcPr>
            <w:tcW w:w="821" w:type="dxa"/>
          </w:tcPr>
          <w:p>
            <w:pPr>
              <w:pStyle w:val="TableParagraph"/>
              <w:spacing w:before="4"/>
              <w:rPr>
                <w:b/>
                <w:sz w:val="23"/>
              </w:rPr>
            </w:pPr>
          </w:p>
          <w:p>
            <w:pPr>
              <w:pStyle w:val="TableParagraph"/>
              <w:spacing w:line="265" w:lineRule="exact"/>
              <w:ind w:left="125" w:right="178"/>
              <w:jc w:val="center"/>
              <w:rPr>
                <w:sz w:val="24"/>
              </w:rPr>
            </w:pPr>
            <w:r>
              <w:rPr>
                <w:sz w:val="24"/>
              </w:rPr>
              <w:t>48.8</w:t>
            </w:r>
          </w:p>
        </w:tc>
        <w:tc>
          <w:tcPr>
            <w:tcW w:w="1169" w:type="dxa"/>
          </w:tcPr>
          <w:p>
            <w:pPr>
              <w:pStyle w:val="TableParagraph"/>
              <w:spacing w:before="7"/>
              <w:rPr>
                <w:b/>
                <w:sz w:val="23"/>
              </w:rPr>
            </w:pPr>
          </w:p>
          <w:p>
            <w:pPr>
              <w:pStyle w:val="TableParagraph"/>
              <w:spacing w:line="263" w:lineRule="exact"/>
              <w:ind w:left="89" w:right="148"/>
              <w:jc w:val="center"/>
              <w:rPr>
                <w:sz w:val="24"/>
              </w:rPr>
            </w:pPr>
            <w:r>
              <w:rPr>
                <w:sz w:val="24"/>
              </w:rPr>
              <w:t>- 117.45</w:t>
            </w:r>
          </w:p>
        </w:tc>
        <w:tc>
          <w:tcPr>
            <w:tcW w:w="759" w:type="dxa"/>
          </w:tcPr>
          <w:p>
            <w:pPr>
              <w:pStyle w:val="TableParagraph"/>
              <w:spacing w:before="4"/>
              <w:rPr>
                <w:b/>
                <w:sz w:val="23"/>
              </w:rPr>
            </w:pPr>
          </w:p>
          <w:p>
            <w:pPr>
              <w:pStyle w:val="TableParagraph"/>
              <w:spacing w:line="265" w:lineRule="exact"/>
              <w:ind w:left="91" w:right="83"/>
              <w:jc w:val="center"/>
              <w:rPr>
                <w:sz w:val="24"/>
              </w:rPr>
            </w:pPr>
            <w:r>
              <w:rPr>
                <w:sz w:val="24"/>
              </w:rPr>
              <w:t>3300</w:t>
            </w:r>
          </w:p>
        </w:tc>
      </w:tr>
      <w:tr>
        <w:trPr>
          <w:trHeight w:val="553" w:hRule="atLeast"/>
        </w:trPr>
        <w:tc>
          <w:tcPr>
            <w:tcW w:w="960" w:type="dxa"/>
          </w:tcPr>
          <w:p>
            <w:pPr>
              <w:pStyle w:val="TableParagraph"/>
              <w:spacing w:before="7"/>
              <w:rPr>
                <w:b/>
                <w:sz w:val="23"/>
              </w:rPr>
            </w:pPr>
          </w:p>
          <w:p>
            <w:pPr>
              <w:pStyle w:val="TableParagraph"/>
              <w:spacing w:line="263" w:lineRule="exact"/>
              <w:ind w:left="107"/>
              <w:rPr>
                <w:sz w:val="24"/>
              </w:rPr>
            </w:pPr>
            <w:r>
              <w:rPr>
                <w:sz w:val="24"/>
              </w:rPr>
              <w:t>686</w:t>
            </w:r>
          </w:p>
        </w:tc>
        <w:tc>
          <w:tcPr>
            <w:tcW w:w="2402" w:type="dxa"/>
          </w:tcPr>
          <w:p>
            <w:pPr>
              <w:pStyle w:val="TableParagraph"/>
              <w:spacing w:before="7"/>
              <w:rPr>
                <w:b/>
                <w:sz w:val="23"/>
              </w:rPr>
            </w:pPr>
          </w:p>
          <w:p>
            <w:pPr>
              <w:pStyle w:val="TableParagraph"/>
              <w:spacing w:line="263" w:lineRule="exact"/>
              <w:ind w:left="107"/>
              <w:rPr>
                <w:sz w:val="24"/>
              </w:rPr>
            </w:pPr>
            <w:r>
              <w:rPr>
                <w:sz w:val="24"/>
              </w:rPr>
              <w:t>Wellpinit</w:t>
            </w:r>
          </w:p>
        </w:tc>
        <w:tc>
          <w:tcPr>
            <w:tcW w:w="777" w:type="dxa"/>
          </w:tcPr>
          <w:p>
            <w:pPr>
              <w:pStyle w:val="TableParagraph"/>
              <w:spacing w:before="7"/>
              <w:rPr>
                <w:b/>
                <w:sz w:val="23"/>
              </w:rPr>
            </w:pPr>
          </w:p>
          <w:p>
            <w:pPr>
              <w:pStyle w:val="TableParagraph"/>
              <w:spacing w:line="263" w:lineRule="exact"/>
              <w:ind w:left="105"/>
              <w:rPr>
                <w:sz w:val="24"/>
              </w:rPr>
            </w:pPr>
            <w:r>
              <w:rPr>
                <w:w w:val="98"/>
                <w:sz w:val="24"/>
              </w:rPr>
              <w:t>R</w:t>
            </w:r>
          </w:p>
        </w:tc>
        <w:tc>
          <w:tcPr>
            <w:tcW w:w="1269" w:type="dxa"/>
          </w:tcPr>
          <w:p>
            <w:pPr>
              <w:pStyle w:val="TableParagraph"/>
              <w:spacing w:before="7"/>
              <w:rPr>
                <w:b/>
                <w:sz w:val="23"/>
              </w:rPr>
            </w:pPr>
          </w:p>
          <w:p>
            <w:pPr>
              <w:pStyle w:val="TableParagraph"/>
              <w:spacing w:line="263" w:lineRule="exact"/>
              <w:ind w:left="108"/>
              <w:rPr>
                <w:sz w:val="24"/>
              </w:rPr>
            </w:pPr>
            <w:r>
              <w:rPr>
                <w:sz w:val="24"/>
              </w:rPr>
              <w:t>452918</w:t>
            </w:r>
          </w:p>
        </w:tc>
        <w:tc>
          <w:tcPr>
            <w:tcW w:w="1135" w:type="dxa"/>
          </w:tcPr>
          <w:p>
            <w:pPr>
              <w:pStyle w:val="TableParagraph"/>
              <w:spacing w:before="7"/>
              <w:rPr>
                <w:b/>
                <w:sz w:val="23"/>
              </w:rPr>
            </w:pPr>
          </w:p>
          <w:p>
            <w:pPr>
              <w:pStyle w:val="TableParagraph"/>
              <w:spacing w:line="263" w:lineRule="exact"/>
              <w:ind w:left="109"/>
              <w:rPr>
                <w:sz w:val="24"/>
              </w:rPr>
            </w:pPr>
            <w:r>
              <w:rPr>
                <w:sz w:val="24"/>
              </w:rPr>
              <w:t>BIA</w:t>
            </w:r>
          </w:p>
        </w:tc>
        <w:tc>
          <w:tcPr>
            <w:tcW w:w="821" w:type="dxa"/>
          </w:tcPr>
          <w:p>
            <w:pPr>
              <w:pStyle w:val="TableParagraph"/>
              <w:spacing w:before="7"/>
              <w:rPr>
                <w:b/>
                <w:sz w:val="23"/>
              </w:rPr>
            </w:pPr>
          </w:p>
          <w:p>
            <w:pPr>
              <w:pStyle w:val="TableParagraph"/>
              <w:spacing w:line="263" w:lineRule="exact"/>
              <w:ind w:left="125" w:right="178"/>
              <w:jc w:val="center"/>
              <w:rPr>
                <w:sz w:val="24"/>
              </w:rPr>
            </w:pPr>
            <w:r>
              <w:rPr>
                <w:sz w:val="24"/>
              </w:rPr>
              <w:t>47.8</w:t>
            </w:r>
          </w:p>
        </w:tc>
        <w:tc>
          <w:tcPr>
            <w:tcW w:w="1169" w:type="dxa"/>
          </w:tcPr>
          <w:p>
            <w:pPr>
              <w:pStyle w:val="TableParagraph"/>
              <w:spacing w:before="7"/>
              <w:rPr>
                <w:b/>
                <w:sz w:val="23"/>
              </w:rPr>
            </w:pPr>
          </w:p>
          <w:p>
            <w:pPr>
              <w:pStyle w:val="TableParagraph"/>
              <w:spacing w:line="263" w:lineRule="exact"/>
              <w:ind w:left="89" w:right="148"/>
              <w:jc w:val="center"/>
              <w:rPr>
                <w:sz w:val="24"/>
              </w:rPr>
            </w:pPr>
            <w:r>
              <w:rPr>
                <w:sz w:val="24"/>
              </w:rPr>
              <w:t>- 118.10</w:t>
            </w:r>
          </w:p>
        </w:tc>
        <w:tc>
          <w:tcPr>
            <w:tcW w:w="759" w:type="dxa"/>
          </w:tcPr>
          <w:p>
            <w:pPr>
              <w:pStyle w:val="TableParagraph"/>
              <w:spacing w:before="7"/>
              <w:rPr>
                <w:b/>
                <w:sz w:val="23"/>
              </w:rPr>
            </w:pPr>
          </w:p>
          <w:p>
            <w:pPr>
              <w:pStyle w:val="TableParagraph"/>
              <w:spacing w:line="263" w:lineRule="exact"/>
              <w:ind w:left="91" w:right="83"/>
              <w:jc w:val="center"/>
              <w:rPr>
                <w:sz w:val="24"/>
              </w:rPr>
            </w:pPr>
            <w:r>
              <w:rPr>
                <w:sz w:val="24"/>
              </w:rPr>
              <w:t>2240</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686</w:t>
            </w:r>
          </w:p>
        </w:tc>
        <w:tc>
          <w:tcPr>
            <w:tcW w:w="2402" w:type="dxa"/>
          </w:tcPr>
          <w:p>
            <w:pPr>
              <w:pStyle w:val="TableParagraph"/>
              <w:spacing w:line="271" w:lineRule="exact"/>
              <w:ind w:left="107"/>
              <w:rPr>
                <w:sz w:val="24"/>
              </w:rPr>
            </w:pPr>
            <w:r>
              <w:rPr>
                <w:sz w:val="24"/>
              </w:rPr>
              <w:t>Cedar Creek</w:t>
            </w:r>
          </w:p>
          <w:p>
            <w:pPr>
              <w:pStyle w:val="TableParagraph"/>
              <w:spacing w:line="260" w:lineRule="exact"/>
              <w:ind w:left="107"/>
              <w:rPr>
                <w:sz w:val="24"/>
              </w:rPr>
            </w:pPr>
            <w:r>
              <w:rPr>
                <w:sz w:val="24"/>
              </w:rPr>
              <w:t>Orchard</w:t>
            </w:r>
          </w:p>
        </w:tc>
        <w:tc>
          <w:tcPr>
            <w:tcW w:w="777" w:type="dxa"/>
          </w:tcPr>
          <w:p>
            <w:pPr>
              <w:pStyle w:val="TableParagraph"/>
              <w:spacing w:before="4"/>
              <w:rPr>
                <w:b/>
                <w:sz w:val="23"/>
              </w:rPr>
            </w:pPr>
          </w:p>
          <w:p>
            <w:pPr>
              <w:pStyle w:val="TableParagraph"/>
              <w:spacing w:line="263" w:lineRule="exact"/>
              <w:ind w:left="105"/>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452917</w:t>
            </w:r>
          </w:p>
        </w:tc>
        <w:tc>
          <w:tcPr>
            <w:tcW w:w="1135" w:type="dxa"/>
          </w:tcPr>
          <w:p>
            <w:pPr>
              <w:pStyle w:val="TableParagraph"/>
              <w:spacing w:before="4"/>
              <w:rPr>
                <w:b/>
                <w:sz w:val="23"/>
              </w:rPr>
            </w:pPr>
          </w:p>
          <w:p>
            <w:pPr>
              <w:pStyle w:val="TableParagraph"/>
              <w:spacing w:line="263" w:lineRule="exact"/>
              <w:ind w:left="109"/>
              <w:rPr>
                <w:sz w:val="24"/>
              </w:rPr>
            </w:pPr>
            <w:r>
              <w:rPr>
                <w:sz w:val="24"/>
              </w:rPr>
              <w:t>USFS</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48.9</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- 117.49</w:t>
            </w:r>
          </w:p>
        </w:tc>
        <w:tc>
          <w:tcPr>
            <w:tcW w:w="759" w:type="dxa"/>
          </w:tcPr>
          <w:p>
            <w:pPr>
              <w:pStyle w:val="TableParagraph"/>
              <w:spacing w:before="4"/>
              <w:rPr>
                <w:b/>
                <w:sz w:val="23"/>
              </w:rPr>
            </w:pPr>
          </w:p>
          <w:p>
            <w:pPr>
              <w:pStyle w:val="TableParagraph"/>
              <w:spacing w:line="263" w:lineRule="exact"/>
              <w:ind w:left="91" w:right="83"/>
              <w:jc w:val="center"/>
              <w:rPr>
                <w:sz w:val="24"/>
              </w:rPr>
            </w:pPr>
            <w:r>
              <w:rPr>
                <w:sz w:val="24"/>
              </w:rPr>
              <w:t>4300</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686</w:t>
            </w:r>
          </w:p>
        </w:tc>
        <w:tc>
          <w:tcPr>
            <w:tcW w:w="2402" w:type="dxa"/>
          </w:tcPr>
          <w:p>
            <w:pPr>
              <w:pStyle w:val="TableParagraph"/>
              <w:spacing w:line="271" w:lineRule="exact"/>
              <w:ind w:left="107"/>
              <w:rPr>
                <w:sz w:val="24"/>
              </w:rPr>
            </w:pPr>
            <w:r>
              <w:rPr>
                <w:sz w:val="24"/>
              </w:rPr>
              <w:t>Teepee Seed</w:t>
            </w:r>
          </w:p>
          <w:p>
            <w:pPr>
              <w:pStyle w:val="TableParagraph"/>
              <w:spacing w:line="260" w:lineRule="exact"/>
              <w:ind w:left="107"/>
              <w:rPr>
                <w:sz w:val="24"/>
              </w:rPr>
            </w:pPr>
            <w:r>
              <w:rPr>
                <w:sz w:val="24"/>
              </w:rPr>
              <w:t>Orchard</w:t>
            </w:r>
          </w:p>
        </w:tc>
        <w:tc>
          <w:tcPr>
            <w:tcW w:w="777" w:type="dxa"/>
          </w:tcPr>
          <w:p>
            <w:pPr>
              <w:pStyle w:val="TableParagraph"/>
              <w:spacing w:before="4"/>
              <w:rPr>
                <w:b/>
                <w:sz w:val="23"/>
              </w:rPr>
            </w:pPr>
          </w:p>
          <w:p>
            <w:pPr>
              <w:pStyle w:val="TableParagraph"/>
              <w:spacing w:line="263" w:lineRule="exact"/>
              <w:ind w:left="105"/>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453414</w:t>
            </w:r>
          </w:p>
        </w:tc>
        <w:tc>
          <w:tcPr>
            <w:tcW w:w="1135" w:type="dxa"/>
          </w:tcPr>
          <w:p>
            <w:pPr>
              <w:pStyle w:val="TableParagraph"/>
              <w:spacing w:before="4"/>
              <w:rPr>
                <w:b/>
                <w:sz w:val="23"/>
              </w:rPr>
            </w:pPr>
          </w:p>
          <w:p>
            <w:pPr>
              <w:pStyle w:val="TableParagraph"/>
              <w:spacing w:line="263" w:lineRule="exact"/>
              <w:ind w:left="109"/>
              <w:rPr>
                <w:sz w:val="24"/>
              </w:rPr>
            </w:pPr>
            <w:r>
              <w:rPr>
                <w:sz w:val="24"/>
              </w:rPr>
              <w:t>USFS</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48.6</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- 117.48</w:t>
            </w:r>
          </w:p>
        </w:tc>
        <w:tc>
          <w:tcPr>
            <w:tcW w:w="759" w:type="dxa"/>
          </w:tcPr>
          <w:p>
            <w:pPr>
              <w:pStyle w:val="TableParagraph"/>
              <w:spacing w:before="4"/>
              <w:rPr>
                <w:b/>
                <w:sz w:val="23"/>
              </w:rPr>
            </w:pPr>
          </w:p>
          <w:p>
            <w:pPr>
              <w:pStyle w:val="TableParagraph"/>
              <w:spacing w:line="263" w:lineRule="exact"/>
              <w:ind w:left="91" w:right="83"/>
              <w:jc w:val="center"/>
              <w:rPr>
                <w:sz w:val="24"/>
              </w:rPr>
            </w:pPr>
            <w:r>
              <w:rPr>
                <w:sz w:val="24"/>
              </w:rPr>
              <w:t>3280</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686</w:t>
            </w:r>
          </w:p>
        </w:tc>
        <w:tc>
          <w:tcPr>
            <w:tcW w:w="2402" w:type="dxa"/>
          </w:tcPr>
          <w:p>
            <w:pPr>
              <w:pStyle w:val="TableParagraph"/>
              <w:spacing w:before="4"/>
              <w:rPr>
                <w:b/>
                <w:sz w:val="23"/>
              </w:rPr>
            </w:pPr>
          </w:p>
          <w:p>
            <w:pPr>
              <w:pStyle w:val="TableParagraph"/>
              <w:spacing w:line="263" w:lineRule="exact"/>
              <w:ind w:left="107"/>
              <w:rPr>
                <w:sz w:val="24"/>
              </w:rPr>
            </w:pPr>
            <w:r>
              <w:rPr>
                <w:sz w:val="24"/>
              </w:rPr>
              <w:t>Flowery Trail</w:t>
            </w:r>
          </w:p>
        </w:tc>
        <w:tc>
          <w:tcPr>
            <w:tcW w:w="777" w:type="dxa"/>
          </w:tcPr>
          <w:p>
            <w:pPr>
              <w:pStyle w:val="TableParagraph"/>
              <w:spacing w:before="4"/>
              <w:rPr>
                <w:b/>
                <w:sz w:val="23"/>
              </w:rPr>
            </w:pPr>
          </w:p>
          <w:p>
            <w:pPr>
              <w:pStyle w:val="TableParagraph"/>
              <w:spacing w:line="263" w:lineRule="exact"/>
              <w:ind w:left="105"/>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453145</w:t>
            </w:r>
          </w:p>
        </w:tc>
        <w:tc>
          <w:tcPr>
            <w:tcW w:w="1135" w:type="dxa"/>
          </w:tcPr>
          <w:p>
            <w:pPr>
              <w:pStyle w:val="TableParagraph"/>
              <w:spacing w:before="4"/>
              <w:rPr>
                <w:b/>
                <w:sz w:val="23"/>
              </w:rPr>
            </w:pPr>
          </w:p>
          <w:p>
            <w:pPr>
              <w:pStyle w:val="TableParagraph"/>
              <w:spacing w:line="263" w:lineRule="exact"/>
              <w:ind w:left="109"/>
              <w:rPr>
                <w:sz w:val="24"/>
              </w:rPr>
            </w:pPr>
            <w:r>
              <w:rPr>
                <w:sz w:val="24"/>
              </w:rPr>
              <w:t>USFS</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48.3</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- 117.41</w:t>
            </w:r>
          </w:p>
        </w:tc>
        <w:tc>
          <w:tcPr>
            <w:tcW w:w="759" w:type="dxa"/>
          </w:tcPr>
          <w:p>
            <w:pPr>
              <w:pStyle w:val="TableParagraph"/>
              <w:spacing w:before="4"/>
              <w:rPr>
                <w:b/>
                <w:sz w:val="23"/>
              </w:rPr>
            </w:pPr>
          </w:p>
          <w:p>
            <w:pPr>
              <w:pStyle w:val="TableParagraph"/>
              <w:spacing w:line="263" w:lineRule="exact"/>
              <w:ind w:left="91" w:right="83"/>
              <w:jc w:val="center"/>
              <w:rPr>
                <w:sz w:val="24"/>
              </w:rPr>
            </w:pPr>
            <w:r>
              <w:rPr>
                <w:sz w:val="24"/>
              </w:rPr>
              <w:t>2680</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686</w:t>
            </w:r>
          </w:p>
        </w:tc>
        <w:tc>
          <w:tcPr>
            <w:tcW w:w="2402" w:type="dxa"/>
          </w:tcPr>
          <w:p>
            <w:pPr>
              <w:pStyle w:val="TableParagraph"/>
              <w:spacing w:before="4"/>
              <w:rPr>
                <w:b/>
                <w:sz w:val="23"/>
              </w:rPr>
            </w:pPr>
          </w:p>
          <w:p>
            <w:pPr>
              <w:pStyle w:val="TableParagraph"/>
              <w:spacing w:line="263" w:lineRule="exact"/>
              <w:ind w:left="107"/>
              <w:rPr>
                <w:sz w:val="24"/>
              </w:rPr>
            </w:pPr>
            <w:r>
              <w:rPr>
                <w:sz w:val="24"/>
              </w:rPr>
              <w:t>Kettle Falls</w:t>
            </w:r>
          </w:p>
        </w:tc>
        <w:tc>
          <w:tcPr>
            <w:tcW w:w="777" w:type="dxa"/>
          </w:tcPr>
          <w:p>
            <w:pPr>
              <w:pStyle w:val="TableParagraph"/>
              <w:spacing w:before="4"/>
              <w:rPr>
                <w:b/>
                <w:sz w:val="23"/>
              </w:rPr>
            </w:pPr>
          </w:p>
          <w:p>
            <w:pPr>
              <w:pStyle w:val="TableParagraph"/>
              <w:spacing w:line="263" w:lineRule="exact"/>
              <w:ind w:left="105"/>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452916</w:t>
            </w:r>
          </w:p>
        </w:tc>
        <w:tc>
          <w:tcPr>
            <w:tcW w:w="1135" w:type="dxa"/>
          </w:tcPr>
          <w:p>
            <w:pPr>
              <w:pStyle w:val="TableParagraph"/>
              <w:spacing w:before="4"/>
              <w:rPr>
                <w:b/>
                <w:sz w:val="23"/>
              </w:rPr>
            </w:pPr>
          </w:p>
          <w:p>
            <w:pPr>
              <w:pStyle w:val="TableParagraph"/>
              <w:spacing w:line="263" w:lineRule="exact"/>
              <w:ind w:left="109"/>
              <w:rPr>
                <w:sz w:val="24"/>
              </w:rPr>
            </w:pPr>
            <w:r>
              <w:rPr>
                <w:sz w:val="24"/>
              </w:rPr>
              <w:t>USFS</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48.5</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- 118.11</w:t>
            </w:r>
          </w:p>
        </w:tc>
        <w:tc>
          <w:tcPr>
            <w:tcW w:w="759" w:type="dxa"/>
          </w:tcPr>
          <w:p>
            <w:pPr>
              <w:pStyle w:val="TableParagraph"/>
              <w:spacing w:before="4"/>
              <w:rPr>
                <w:b/>
                <w:sz w:val="23"/>
              </w:rPr>
            </w:pPr>
          </w:p>
          <w:p>
            <w:pPr>
              <w:pStyle w:val="TableParagraph"/>
              <w:spacing w:line="263" w:lineRule="exact"/>
              <w:ind w:left="91" w:right="83"/>
              <w:jc w:val="center"/>
              <w:rPr>
                <w:sz w:val="24"/>
              </w:rPr>
            </w:pPr>
            <w:r>
              <w:rPr>
                <w:sz w:val="24"/>
              </w:rPr>
              <w:t>1310</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686</w:t>
            </w:r>
          </w:p>
        </w:tc>
        <w:tc>
          <w:tcPr>
            <w:tcW w:w="2402" w:type="dxa"/>
          </w:tcPr>
          <w:p>
            <w:pPr>
              <w:pStyle w:val="TableParagraph"/>
              <w:spacing w:before="4"/>
              <w:rPr>
                <w:b/>
                <w:sz w:val="23"/>
              </w:rPr>
            </w:pPr>
          </w:p>
          <w:p>
            <w:pPr>
              <w:pStyle w:val="TableParagraph"/>
              <w:spacing w:line="263" w:lineRule="exact"/>
              <w:ind w:left="107"/>
              <w:rPr>
                <w:sz w:val="24"/>
              </w:rPr>
            </w:pPr>
            <w:r>
              <w:rPr>
                <w:sz w:val="24"/>
              </w:rPr>
              <w:t>Fairchild 36 RQF</w:t>
            </w:r>
          </w:p>
        </w:tc>
        <w:tc>
          <w:tcPr>
            <w:tcW w:w="777" w:type="dxa"/>
          </w:tcPr>
          <w:p>
            <w:pPr>
              <w:pStyle w:val="TableParagraph"/>
              <w:spacing w:before="4"/>
              <w:rPr>
                <w:b/>
                <w:sz w:val="23"/>
              </w:rPr>
            </w:pPr>
          </w:p>
          <w:p>
            <w:pPr>
              <w:pStyle w:val="TableParagraph"/>
              <w:spacing w:line="263" w:lineRule="exact"/>
              <w:ind w:left="105"/>
              <w:rPr>
                <w:sz w:val="24"/>
              </w:rPr>
            </w:pPr>
            <w:r>
              <w:rPr>
                <w:w w:val="98"/>
                <w:sz w:val="24"/>
              </w:rPr>
              <w:t>R</w:t>
            </w:r>
          </w:p>
        </w:tc>
        <w:tc>
          <w:tcPr>
            <w:tcW w:w="1269" w:type="dxa"/>
          </w:tcPr>
          <w:p>
            <w:pPr>
              <w:pStyle w:val="TableParagraph"/>
              <w:rPr>
                <w:rFonts w:ascii="Times New Roman"/>
                <w:sz w:val="24"/>
              </w:rPr>
            </w:pPr>
          </w:p>
        </w:tc>
        <w:tc>
          <w:tcPr>
            <w:tcW w:w="1135" w:type="dxa"/>
          </w:tcPr>
          <w:p>
            <w:pPr>
              <w:pStyle w:val="TableParagraph"/>
              <w:spacing w:before="4"/>
              <w:rPr>
                <w:b/>
                <w:sz w:val="23"/>
              </w:rPr>
            </w:pPr>
          </w:p>
          <w:p>
            <w:pPr>
              <w:pStyle w:val="TableParagraph"/>
              <w:spacing w:line="263" w:lineRule="exact"/>
              <w:ind w:left="109"/>
              <w:rPr>
                <w:sz w:val="24"/>
              </w:rPr>
            </w:pPr>
            <w:r>
              <w:rPr>
                <w:sz w:val="24"/>
              </w:rPr>
              <w:t>BLM</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48.4</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- 117.36</w:t>
            </w:r>
          </w:p>
        </w:tc>
        <w:tc>
          <w:tcPr>
            <w:tcW w:w="759" w:type="dxa"/>
          </w:tcPr>
          <w:p>
            <w:pPr>
              <w:pStyle w:val="TableParagraph"/>
              <w:spacing w:before="4"/>
              <w:rPr>
                <w:b/>
                <w:sz w:val="23"/>
              </w:rPr>
            </w:pPr>
          </w:p>
          <w:p>
            <w:pPr>
              <w:pStyle w:val="TableParagraph"/>
              <w:spacing w:line="263" w:lineRule="exact"/>
              <w:ind w:left="91" w:right="83"/>
              <w:jc w:val="center"/>
              <w:rPr>
                <w:sz w:val="24"/>
              </w:rPr>
            </w:pPr>
            <w:r>
              <w:rPr>
                <w:sz w:val="24"/>
              </w:rPr>
              <w:t>2450</w:t>
            </w:r>
          </w:p>
        </w:tc>
      </w:tr>
      <w:tr>
        <w:trPr>
          <w:trHeight w:val="278" w:hRule="atLeast"/>
        </w:trPr>
        <w:tc>
          <w:tcPr>
            <w:tcW w:w="960" w:type="dxa"/>
          </w:tcPr>
          <w:p>
            <w:pPr>
              <w:pStyle w:val="TableParagraph"/>
              <w:rPr>
                <w:rFonts w:ascii="Times New Roman"/>
                <w:sz w:val="20"/>
              </w:rPr>
            </w:pPr>
          </w:p>
        </w:tc>
        <w:tc>
          <w:tcPr>
            <w:tcW w:w="2402" w:type="dxa"/>
          </w:tcPr>
          <w:p>
            <w:pPr>
              <w:pStyle w:val="TableParagraph"/>
              <w:rPr>
                <w:rFonts w:ascii="Times New Roman"/>
                <w:sz w:val="20"/>
              </w:rPr>
            </w:pPr>
          </w:p>
        </w:tc>
        <w:tc>
          <w:tcPr>
            <w:tcW w:w="777" w:type="dxa"/>
          </w:tcPr>
          <w:p>
            <w:pPr>
              <w:pStyle w:val="TableParagraph"/>
              <w:rPr>
                <w:rFonts w:ascii="Times New Roman"/>
                <w:sz w:val="20"/>
              </w:rPr>
            </w:pPr>
          </w:p>
        </w:tc>
        <w:tc>
          <w:tcPr>
            <w:tcW w:w="1269" w:type="dxa"/>
          </w:tcPr>
          <w:p>
            <w:pPr>
              <w:pStyle w:val="TableParagraph"/>
              <w:rPr>
                <w:rFonts w:ascii="Times New Roman"/>
                <w:sz w:val="20"/>
              </w:rPr>
            </w:pPr>
          </w:p>
        </w:tc>
        <w:tc>
          <w:tcPr>
            <w:tcW w:w="1135" w:type="dxa"/>
          </w:tcPr>
          <w:p>
            <w:pPr>
              <w:pStyle w:val="TableParagraph"/>
              <w:rPr>
                <w:rFonts w:ascii="Times New Roman"/>
                <w:sz w:val="20"/>
              </w:rPr>
            </w:pPr>
          </w:p>
        </w:tc>
        <w:tc>
          <w:tcPr>
            <w:tcW w:w="821" w:type="dxa"/>
          </w:tcPr>
          <w:p>
            <w:pPr>
              <w:pStyle w:val="TableParagraph"/>
              <w:rPr>
                <w:rFonts w:ascii="Times New Roman"/>
                <w:sz w:val="20"/>
              </w:rPr>
            </w:pPr>
          </w:p>
        </w:tc>
        <w:tc>
          <w:tcPr>
            <w:tcW w:w="1169" w:type="dxa"/>
          </w:tcPr>
          <w:p>
            <w:pPr>
              <w:pStyle w:val="TableParagraph"/>
              <w:rPr>
                <w:rFonts w:ascii="Times New Roman"/>
                <w:sz w:val="20"/>
              </w:rPr>
            </w:pPr>
          </w:p>
        </w:tc>
        <w:tc>
          <w:tcPr>
            <w:tcW w:w="759" w:type="dxa"/>
          </w:tcPr>
          <w:p>
            <w:pPr>
              <w:pStyle w:val="TableParagraph"/>
              <w:rPr>
                <w:rFonts w:ascii="Times New Roman"/>
                <w:sz w:val="20"/>
              </w:rPr>
            </w:pPr>
          </w:p>
        </w:tc>
      </w:tr>
      <w:tr>
        <w:trPr>
          <w:trHeight w:val="553" w:hRule="atLeast"/>
        </w:trPr>
        <w:tc>
          <w:tcPr>
            <w:tcW w:w="960" w:type="dxa"/>
          </w:tcPr>
          <w:p>
            <w:pPr>
              <w:pStyle w:val="TableParagraph"/>
              <w:spacing w:before="4"/>
              <w:rPr>
                <w:b/>
                <w:sz w:val="23"/>
              </w:rPr>
            </w:pPr>
          </w:p>
          <w:p>
            <w:pPr>
              <w:pStyle w:val="TableParagraph"/>
              <w:spacing w:line="265" w:lineRule="exact"/>
              <w:ind w:left="107"/>
              <w:rPr>
                <w:sz w:val="24"/>
              </w:rPr>
            </w:pPr>
            <w:r>
              <w:rPr>
                <w:sz w:val="24"/>
              </w:rPr>
              <w:t>687</w:t>
            </w:r>
          </w:p>
        </w:tc>
        <w:tc>
          <w:tcPr>
            <w:tcW w:w="2402" w:type="dxa"/>
          </w:tcPr>
          <w:p>
            <w:pPr>
              <w:pStyle w:val="TableParagraph"/>
              <w:spacing w:before="4"/>
              <w:rPr>
                <w:b/>
                <w:sz w:val="23"/>
              </w:rPr>
            </w:pPr>
          </w:p>
          <w:p>
            <w:pPr>
              <w:pStyle w:val="TableParagraph"/>
              <w:spacing w:line="265" w:lineRule="exact"/>
              <w:ind w:left="107"/>
              <w:rPr>
                <w:sz w:val="24"/>
              </w:rPr>
            </w:pPr>
            <w:r>
              <w:rPr>
                <w:sz w:val="24"/>
              </w:rPr>
              <w:t>Peony</w:t>
            </w:r>
          </w:p>
        </w:tc>
        <w:tc>
          <w:tcPr>
            <w:tcW w:w="777" w:type="dxa"/>
          </w:tcPr>
          <w:p>
            <w:pPr>
              <w:pStyle w:val="TableParagraph"/>
              <w:spacing w:before="4"/>
              <w:rPr>
                <w:b/>
                <w:sz w:val="23"/>
              </w:rPr>
            </w:pPr>
          </w:p>
          <w:p>
            <w:pPr>
              <w:pStyle w:val="TableParagraph"/>
              <w:spacing w:line="265" w:lineRule="exact"/>
              <w:ind w:left="105"/>
              <w:rPr>
                <w:sz w:val="24"/>
              </w:rPr>
            </w:pPr>
            <w:r>
              <w:rPr>
                <w:w w:val="98"/>
                <w:sz w:val="24"/>
              </w:rPr>
              <w:t>R</w:t>
            </w:r>
          </w:p>
        </w:tc>
        <w:tc>
          <w:tcPr>
            <w:tcW w:w="1269" w:type="dxa"/>
          </w:tcPr>
          <w:p>
            <w:pPr>
              <w:pStyle w:val="TableParagraph"/>
              <w:spacing w:before="4"/>
              <w:rPr>
                <w:b/>
                <w:sz w:val="23"/>
              </w:rPr>
            </w:pPr>
          </w:p>
          <w:p>
            <w:pPr>
              <w:pStyle w:val="TableParagraph"/>
              <w:spacing w:line="265" w:lineRule="exact"/>
              <w:ind w:left="108"/>
              <w:rPr>
                <w:sz w:val="24"/>
              </w:rPr>
            </w:pPr>
            <w:r>
              <w:rPr>
                <w:sz w:val="24"/>
              </w:rPr>
              <w:t>452038</w:t>
            </w:r>
          </w:p>
        </w:tc>
        <w:tc>
          <w:tcPr>
            <w:tcW w:w="1135" w:type="dxa"/>
          </w:tcPr>
          <w:p>
            <w:pPr>
              <w:pStyle w:val="TableParagraph"/>
              <w:spacing w:before="4"/>
              <w:rPr>
                <w:b/>
                <w:sz w:val="23"/>
              </w:rPr>
            </w:pPr>
          </w:p>
          <w:p>
            <w:pPr>
              <w:pStyle w:val="TableParagraph"/>
              <w:spacing w:line="265" w:lineRule="exact"/>
              <w:ind w:left="109"/>
              <w:rPr>
                <w:sz w:val="24"/>
              </w:rPr>
            </w:pPr>
            <w:r>
              <w:rPr>
                <w:sz w:val="24"/>
              </w:rPr>
              <w:t>USFS</w:t>
            </w:r>
          </w:p>
        </w:tc>
        <w:tc>
          <w:tcPr>
            <w:tcW w:w="821" w:type="dxa"/>
          </w:tcPr>
          <w:p>
            <w:pPr>
              <w:pStyle w:val="TableParagraph"/>
              <w:spacing w:before="4"/>
              <w:rPr>
                <w:b/>
                <w:sz w:val="23"/>
              </w:rPr>
            </w:pPr>
          </w:p>
          <w:p>
            <w:pPr>
              <w:pStyle w:val="TableParagraph"/>
              <w:spacing w:line="265" w:lineRule="exact"/>
              <w:ind w:left="125" w:right="178"/>
              <w:jc w:val="center"/>
              <w:rPr>
                <w:sz w:val="24"/>
              </w:rPr>
            </w:pPr>
            <w:r>
              <w:rPr>
                <w:sz w:val="24"/>
              </w:rPr>
              <w:t>48.5</w:t>
            </w:r>
          </w:p>
        </w:tc>
        <w:tc>
          <w:tcPr>
            <w:tcW w:w="1169" w:type="dxa"/>
          </w:tcPr>
          <w:p>
            <w:pPr>
              <w:pStyle w:val="TableParagraph"/>
              <w:spacing w:before="9"/>
              <w:rPr>
                <w:b/>
                <w:sz w:val="23"/>
              </w:rPr>
            </w:pPr>
          </w:p>
          <w:p>
            <w:pPr>
              <w:pStyle w:val="TableParagraph"/>
              <w:spacing w:line="260" w:lineRule="exact"/>
              <w:ind w:left="89" w:right="148"/>
              <w:jc w:val="center"/>
              <w:rPr>
                <w:sz w:val="24"/>
              </w:rPr>
            </w:pPr>
            <w:r>
              <w:rPr>
                <w:sz w:val="24"/>
              </w:rPr>
              <w:t>- 119.21</w:t>
            </w:r>
          </w:p>
        </w:tc>
        <w:tc>
          <w:tcPr>
            <w:tcW w:w="759" w:type="dxa"/>
          </w:tcPr>
          <w:p>
            <w:pPr>
              <w:pStyle w:val="TableParagraph"/>
              <w:spacing w:before="4"/>
              <w:rPr>
                <w:b/>
                <w:sz w:val="23"/>
              </w:rPr>
            </w:pPr>
          </w:p>
          <w:p>
            <w:pPr>
              <w:pStyle w:val="TableParagraph"/>
              <w:spacing w:line="265" w:lineRule="exact"/>
              <w:ind w:left="91" w:right="83"/>
              <w:jc w:val="center"/>
              <w:rPr>
                <w:sz w:val="24"/>
              </w:rPr>
            </w:pPr>
            <w:r>
              <w:rPr>
                <w:sz w:val="24"/>
              </w:rPr>
              <w:t>3600</w:t>
            </w:r>
          </w:p>
        </w:tc>
      </w:tr>
    </w:tbl>
    <w:p>
      <w:pPr>
        <w:spacing w:after="0" w:line="265" w:lineRule="exact"/>
        <w:jc w:val="center"/>
        <w:rPr>
          <w:sz w:val="24"/>
        </w:rPr>
        <w:sectPr>
          <w:pgSz w:w="12240" w:h="15840"/>
          <w:pgMar w:header="0" w:footer="968" w:top="1440" w:bottom="1160" w:left="340" w:right="620"/>
        </w:sectPr>
      </w:pPr>
    </w:p>
    <w:tbl>
      <w:tblPr>
        <w:tblW w:w="0" w:type="auto"/>
        <w:jc w:val="left"/>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2402"/>
        <w:gridCol w:w="777"/>
        <w:gridCol w:w="1269"/>
        <w:gridCol w:w="1135"/>
        <w:gridCol w:w="821"/>
        <w:gridCol w:w="1169"/>
        <w:gridCol w:w="759"/>
      </w:tblGrid>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687</w:t>
            </w:r>
          </w:p>
        </w:tc>
        <w:tc>
          <w:tcPr>
            <w:tcW w:w="2402" w:type="dxa"/>
          </w:tcPr>
          <w:p>
            <w:pPr>
              <w:pStyle w:val="TableParagraph"/>
              <w:spacing w:line="276" w:lineRule="exact"/>
              <w:ind w:left="107" w:right="530"/>
              <w:rPr>
                <w:sz w:val="24"/>
              </w:rPr>
            </w:pPr>
            <w:r>
              <w:rPr>
                <w:sz w:val="24"/>
              </w:rPr>
              <w:t>Brown Mountain Ochd</w:t>
            </w:r>
          </w:p>
        </w:tc>
        <w:tc>
          <w:tcPr>
            <w:tcW w:w="777" w:type="dxa"/>
          </w:tcPr>
          <w:p>
            <w:pPr>
              <w:pStyle w:val="TableParagraph"/>
              <w:spacing w:before="4"/>
              <w:rPr>
                <w:b/>
                <w:sz w:val="23"/>
              </w:rPr>
            </w:pPr>
          </w:p>
          <w:p>
            <w:pPr>
              <w:pStyle w:val="TableParagraph"/>
              <w:spacing w:line="263" w:lineRule="exact"/>
              <w:ind w:left="105"/>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452514</w:t>
            </w:r>
          </w:p>
        </w:tc>
        <w:tc>
          <w:tcPr>
            <w:tcW w:w="1135" w:type="dxa"/>
          </w:tcPr>
          <w:p>
            <w:pPr>
              <w:pStyle w:val="TableParagraph"/>
              <w:spacing w:before="4"/>
              <w:rPr>
                <w:b/>
                <w:sz w:val="23"/>
              </w:rPr>
            </w:pPr>
          </w:p>
          <w:p>
            <w:pPr>
              <w:pStyle w:val="TableParagraph"/>
              <w:spacing w:line="263" w:lineRule="exact"/>
              <w:ind w:left="109"/>
              <w:rPr>
                <w:sz w:val="24"/>
              </w:rPr>
            </w:pPr>
            <w:r>
              <w:rPr>
                <w:sz w:val="24"/>
              </w:rPr>
              <w:t>USFS</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48.5</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- 118.69</w:t>
            </w:r>
          </w:p>
        </w:tc>
        <w:tc>
          <w:tcPr>
            <w:tcW w:w="759" w:type="dxa"/>
          </w:tcPr>
          <w:p>
            <w:pPr>
              <w:pStyle w:val="TableParagraph"/>
              <w:spacing w:before="4"/>
              <w:rPr>
                <w:b/>
                <w:sz w:val="23"/>
              </w:rPr>
            </w:pPr>
          </w:p>
          <w:p>
            <w:pPr>
              <w:pStyle w:val="TableParagraph"/>
              <w:spacing w:line="263" w:lineRule="exact"/>
              <w:ind w:left="91" w:right="83"/>
              <w:jc w:val="center"/>
              <w:rPr>
                <w:sz w:val="24"/>
              </w:rPr>
            </w:pPr>
            <w:r>
              <w:rPr>
                <w:sz w:val="24"/>
              </w:rPr>
              <w:t>3210</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687</w:t>
            </w:r>
          </w:p>
        </w:tc>
        <w:tc>
          <w:tcPr>
            <w:tcW w:w="2402" w:type="dxa"/>
          </w:tcPr>
          <w:p>
            <w:pPr>
              <w:pStyle w:val="TableParagraph"/>
              <w:spacing w:before="4"/>
              <w:rPr>
                <w:b/>
                <w:sz w:val="23"/>
              </w:rPr>
            </w:pPr>
          </w:p>
          <w:p>
            <w:pPr>
              <w:pStyle w:val="TableParagraph"/>
              <w:spacing w:line="263" w:lineRule="exact"/>
              <w:ind w:left="107"/>
              <w:rPr>
                <w:sz w:val="24"/>
              </w:rPr>
            </w:pPr>
            <w:r>
              <w:rPr>
                <w:sz w:val="24"/>
              </w:rPr>
              <w:t>Owl Mountain</w:t>
            </w:r>
          </w:p>
        </w:tc>
        <w:tc>
          <w:tcPr>
            <w:tcW w:w="777" w:type="dxa"/>
          </w:tcPr>
          <w:p>
            <w:pPr>
              <w:pStyle w:val="TableParagraph"/>
              <w:spacing w:before="4"/>
              <w:rPr>
                <w:b/>
                <w:sz w:val="23"/>
              </w:rPr>
            </w:pPr>
          </w:p>
          <w:p>
            <w:pPr>
              <w:pStyle w:val="TableParagraph"/>
              <w:spacing w:line="263" w:lineRule="exact"/>
              <w:ind w:left="105"/>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452513</w:t>
            </w:r>
          </w:p>
        </w:tc>
        <w:tc>
          <w:tcPr>
            <w:tcW w:w="1135" w:type="dxa"/>
          </w:tcPr>
          <w:p>
            <w:pPr>
              <w:pStyle w:val="TableParagraph"/>
              <w:spacing w:before="4"/>
              <w:rPr>
                <w:b/>
                <w:sz w:val="23"/>
              </w:rPr>
            </w:pPr>
          </w:p>
          <w:p>
            <w:pPr>
              <w:pStyle w:val="TableParagraph"/>
              <w:spacing w:line="263" w:lineRule="exact"/>
              <w:ind w:left="109"/>
              <w:rPr>
                <w:sz w:val="24"/>
              </w:rPr>
            </w:pPr>
            <w:r>
              <w:rPr>
                <w:sz w:val="24"/>
              </w:rPr>
              <w:t>USFS</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48.9</w:t>
            </w:r>
          </w:p>
        </w:tc>
        <w:tc>
          <w:tcPr>
            <w:tcW w:w="1169" w:type="dxa"/>
          </w:tcPr>
          <w:p>
            <w:pPr>
              <w:pStyle w:val="TableParagraph"/>
              <w:spacing w:before="6"/>
              <w:rPr>
                <w:b/>
                <w:sz w:val="23"/>
              </w:rPr>
            </w:pPr>
          </w:p>
          <w:p>
            <w:pPr>
              <w:pStyle w:val="TableParagraph"/>
              <w:spacing w:line="260" w:lineRule="exact"/>
              <w:ind w:left="89" w:right="148"/>
              <w:jc w:val="center"/>
              <w:rPr>
                <w:sz w:val="24"/>
              </w:rPr>
            </w:pPr>
            <w:r>
              <w:rPr>
                <w:sz w:val="24"/>
              </w:rPr>
              <w:t>- 118.30</w:t>
            </w:r>
          </w:p>
        </w:tc>
        <w:tc>
          <w:tcPr>
            <w:tcW w:w="759" w:type="dxa"/>
          </w:tcPr>
          <w:p>
            <w:pPr>
              <w:pStyle w:val="TableParagraph"/>
              <w:spacing w:before="4"/>
              <w:rPr>
                <w:b/>
                <w:sz w:val="23"/>
              </w:rPr>
            </w:pPr>
          </w:p>
          <w:p>
            <w:pPr>
              <w:pStyle w:val="TableParagraph"/>
              <w:spacing w:line="263" w:lineRule="exact"/>
              <w:ind w:left="91" w:right="83"/>
              <w:jc w:val="center"/>
              <w:rPr>
                <w:sz w:val="24"/>
              </w:rPr>
            </w:pPr>
            <w:r>
              <w:rPr>
                <w:sz w:val="24"/>
              </w:rPr>
              <w:t>4400</w:t>
            </w:r>
          </w:p>
        </w:tc>
      </w:tr>
      <w:tr>
        <w:trPr>
          <w:trHeight w:val="553" w:hRule="atLeast"/>
        </w:trPr>
        <w:tc>
          <w:tcPr>
            <w:tcW w:w="960" w:type="dxa"/>
          </w:tcPr>
          <w:p>
            <w:pPr>
              <w:pStyle w:val="TableParagraph"/>
              <w:spacing w:before="4"/>
              <w:rPr>
                <w:b/>
                <w:sz w:val="23"/>
              </w:rPr>
            </w:pPr>
          </w:p>
          <w:p>
            <w:pPr>
              <w:pStyle w:val="TableParagraph"/>
              <w:spacing w:line="265" w:lineRule="exact"/>
              <w:ind w:left="107"/>
              <w:rPr>
                <w:sz w:val="24"/>
              </w:rPr>
            </w:pPr>
            <w:r>
              <w:rPr>
                <w:sz w:val="24"/>
              </w:rPr>
              <w:t>687</w:t>
            </w:r>
          </w:p>
        </w:tc>
        <w:tc>
          <w:tcPr>
            <w:tcW w:w="2402" w:type="dxa"/>
          </w:tcPr>
          <w:p>
            <w:pPr>
              <w:pStyle w:val="TableParagraph"/>
              <w:spacing w:before="4"/>
              <w:rPr>
                <w:b/>
                <w:sz w:val="23"/>
              </w:rPr>
            </w:pPr>
          </w:p>
          <w:p>
            <w:pPr>
              <w:pStyle w:val="TableParagraph"/>
              <w:spacing w:line="265" w:lineRule="exact"/>
              <w:ind w:left="107"/>
              <w:rPr>
                <w:sz w:val="24"/>
              </w:rPr>
            </w:pPr>
            <w:r>
              <w:rPr>
                <w:sz w:val="24"/>
              </w:rPr>
              <w:t>Lane Creek</w:t>
            </w:r>
          </w:p>
        </w:tc>
        <w:tc>
          <w:tcPr>
            <w:tcW w:w="777" w:type="dxa"/>
          </w:tcPr>
          <w:p>
            <w:pPr>
              <w:pStyle w:val="TableParagraph"/>
              <w:spacing w:before="4"/>
              <w:rPr>
                <w:b/>
                <w:sz w:val="23"/>
              </w:rPr>
            </w:pPr>
          </w:p>
          <w:p>
            <w:pPr>
              <w:pStyle w:val="TableParagraph"/>
              <w:spacing w:line="265" w:lineRule="exact"/>
              <w:ind w:left="105"/>
              <w:rPr>
                <w:sz w:val="24"/>
              </w:rPr>
            </w:pPr>
            <w:r>
              <w:rPr>
                <w:w w:val="98"/>
                <w:sz w:val="24"/>
              </w:rPr>
              <w:t>R</w:t>
            </w:r>
          </w:p>
        </w:tc>
        <w:tc>
          <w:tcPr>
            <w:tcW w:w="1269" w:type="dxa"/>
          </w:tcPr>
          <w:p>
            <w:pPr>
              <w:pStyle w:val="TableParagraph"/>
              <w:spacing w:before="4"/>
              <w:rPr>
                <w:b/>
                <w:sz w:val="23"/>
              </w:rPr>
            </w:pPr>
          </w:p>
          <w:p>
            <w:pPr>
              <w:pStyle w:val="TableParagraph"/>
              <w:spacing w:line="265" w:lineRule="exact"/>
              <w:ind w:left="108"/>
              <w:rPr>
                <w:sz w:val="24"/>
              </w:rPr>
            </w:pPr>
            <w:r>
              <w:rPr>
                <w:sz w:val="24"/>
              </w:rPr>
              <w:t>452511</w:t>
            </w:r>
          </w:p>
        </w:tc>
        <w:tc>
          <w:tcPr>
            <w:tcW w:w="1135" w:type="dxa"/>
          </w:tcPr>
          <w:p>
            <w:pPr>
              <w:pStyle w:val="TableParagraph"/>
              <w:spacing w:before="4"/>
              <w:rPr>
                <w:b/>
                <w:sz w:val="23"/>
              </w:rPr>
            </w:pPr>
          </w:p>
          <w:p>
            <w:pPr>
              <w:pStyle w:val="TableParagraph"/>
              <w:spacing w:line="265" w:lineRule="exact"/>
              <w:ind w:left="109"/>
              <w:rPr>
                <w:sz w:val="24"/>
              </w:rPr>
            </w:pPr>
            <w:r>
              <w:rPr>
                <w:sz w:val="24"/>
              </w:rPr>
              <w:t>USFS</w:t>
            </w:r>
          </w:p>
        </w:tc>
        <w:tc>
          <w:tcPr>
            <w:tcW w:w="821" w:type="dxa"/>
          </w:tcPr>
          <w:p>
            <w:pPr>
              <w:pStyle w:val="TableParagraph"/>
              <w:spacing w:before="4"/>
              <w:rPr>
                <w:b/>
                <w:sz w:val="23"/>
              </w:rPr>
            </w:pPr>
          </w:p>
          <w:p>
            <w:pPr>
              <w:pStyle w:val="TableParagraph"/>
              <w:spacing w:line="265" w:lineRule="exact"/>
              <w:ind w:left="125" w:right="178"/>
              <w:jc w:val="center"/>
              <w:rPr>
                <w:sz w:val="24"/>
              </w:rPr>
            </w:pPr>
            <w:r>
              <w:rPr>
                <w:sz w:val="24"/>
              </w:rPr>
              <w:t>48.6</w:t>
            </w:r>
          </w:p>
        </w:tc>
        <w:tc>
          <w:tcPr>
            <w:tcW w:w="1169" w:type="dxa"/>
          </w:tcPr>
          <w:p>
            <w:pPr>
              <w:pStyle w:val="TableParagraph"/>
              <w:spacing w:before="7"/>
              <w:rPr>
                <w:b/>
                <w:sz w:val="23"/>
              </w:rPr>
            </w:pPr>
          </w:p>
          <w:p>
            <w:pPr>
              <w:pStyle w:val="TableParagraph"/>
              <w:spacing w:line="263" w:lineRule="exact"/>
              <w:ind w:left="89" w:right="148"/>
              <w:jc w:val="center"/>
              <w:rPr>
                <w:sz w:val="24"/>
              </w:rPr>
            </w:pPr>
            <w:r>
              <w:rPr>
                <w:sz w:val="24"/>
              </w:rPr>
              <w:t>- 118.28</w:t>
            </w:r>
          </w:p>
        </w:tc>
        <w:tc>
          <w:tcPr>
            <w:tcW w:w="759" w:type="dxa"/>
          </w:tcPr>
          <w:p>
            <w:pPr>
              <w:pStyle w:val="TableParagraph"/>
              <w:spacing w:before="4"/>
              <w:rPr>
                <w:b/>
                <w:sz w:val="23"/>
              </w:rPr>
            </w:pPr>
          </w:p>
          <w:p>
            <w:pPr>
              <w:pStyle w:val="TableParagraph"/>
              <w:spacing w:line="265" w:lineRule="exact"/>
              <w:ind w:left="91" w:right="83"/>
              <w:jc w:val="center"/>
              <w:rPr>
                <w:sz w:val="24"/>
              </w:rPr>
            </w:pPr>
            <w:r>
              <w:rPr>
                <w:sz w:val="24"/>
              </w:rPr>
              <w:t>4500</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687</w:t>
            </w:r>
          </w:p>
        </w:tc>
        <w:tc>
          <w:tcPr>
            <w:tcW w:w="2402" w:type="dxa"/>
          </w:tcPr>
          <w:p>
            <w:pPr>
              <w:pStyle w:val="TableParagraph"/>
              <w:spacing w:before="4"/>
              <w:rPr>
                <w:b/>
                <w:sz w:val="23"/>
              </w:rPr>
            </w:pPr>
          </w:p>
          <w:p>
            <w:pPr>
              <w:pStyle w:val="TableParagraph"/>
              <w:spacing w:line="263" w:lineRule="exact"/>
              <w:ind w:left="107"/>
              <w:rPr>
                <w:sz w:val="24"/>
              </w:rPr>
            </w:pPr>
            <w:r>
              <w:rPr>
                <w:sz w:val="24"/>
              </w:rPr>
              <w:t>Gold Mountain</w:t>
            </w:r>
          </w:p>
        </w:tc>
        <w:tc>
          <w:tcPr>
            <w:tcW w:w="777" w:type="dxa"/>
          </w:tcPr>
          <w:p>
            <w:pPr>
              <w:pStyle w:val="TableParagraph"/>
              <w:spacing w:before="4"/>
              <w:rPr>
                <w:b/>
                <w:sz w:val="23"/>
              </w:rPr>
            </w:pPr>
          </w:p>
          <w:p>
            <w:pPr>
              <w:pStyle w:val="TableParagraph"/>
              <w:spacing w:line="263" w:lineRule="exact"/>
              <w:ind w:left="105"/>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452510</w:t>
            </w:r>
          </w:p>
        </w:tc>
        <w:tc>
          <w:tcPr>
            <w:tcW w:w="1135" w:type="dxa"/>
          </w:tcPr>
          <w:p>
            <w:pPr>
              <w:pStyle w:val="TableParagraph"/>
              <w:spacing w:before="4"/>
              <w:rPr>
                <w:b/>
                <w:sz w:val="23"/>
              </w:rPr>
            </w:pPr>
          </w:p>
          <w:p>
            <w:pPr>
              <w:pStyle w:val="TableParagraph"/>
              <w:spacing w:line="263" w:lineRule="exact"/>
              <w:ind w:left="109"/>
              <w:rPr>
                <w:sz w:val="24"/>
              </w:rPr>
            </w:pPr>
            <w:r>
              <w:rPr>
                <w:sz w:val="24"/>
              </w:rPr>
              <w:t>BIA</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48.1</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- 118.49</w:t>
            </w:r>
          </w:p>
        </w:tc>
        <w:tc>
          <w:tcPr>
            <w:tcW w:w="759" w:type="dxa"/>
          </w:tcPr>
          <w:p>
            <w:pPr>
              <w:pStyle w:val="TableParagraph"/>
              <w:spacing w:before="4"/>
              <w:rPr>
                <w:b/>
                <w:sz w:val="23"/>
              </w:rPr>
            </w:pPr>
          </w:p>
          <w:p>
            <w:pPr>
              <w:pStyle w:val="TableParagraph"/>
              <w:spacing w:line="263" w:lineRule="exact"/>
              <w:ind w:left="91" w:right="83"/>
              <w:jc w:val="center"/>
              <w:rPr>
                <w:sz w:val="24"/>
              </w:rPr>
            </w:pPr>
            <w:r>
              <w:rPr>
                <w:sz w:val="24"/>
              </w:rPr>
              <w:t>4636</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687</w:t>
            </w:r>
          </w:p>
        </w:tc>
        <w:tc>
          <w:tcPr>
            <w:tcW w:w="2402" w:type="dxa"/>
          </w:tcPr>
          <w:p>
            <w:pPr>
              <w:pStyle w:val="TableParagraph"/>
              <w:spacing w:before="4"/>
              <w:rPr>
                <w:b/>
                <w:sz w:val="23"/>
              </w:rPr>
            </w:pPr>
          </w:p>
          <w:p>
            <w:pPr>
              <w:pStyle w:val="TableParagraph"/>
              <w:spacing w:line="263" w:lineRule="exact"/>
              <w:ind w:left="107"/>
              <w:rPr>
                <w:sz w:val="24"/>
              </w:rPr>
            </w:pPr>
            <w:r>
              <w:rPr>
                <w:sz w:val="24"/>
              </w:rPr>
              <w:t>Iron Mountain</w:t>
            </w:r>
          </w:p>
        </w:tc>
        <w:tc>
          <w:tcPr>
            <w:tcW w:w="777" w:type="dxa"/>
          </w:tcPr>
          <w:p>
            <w:pPr>
              <w:pStyle w:val="TableParagraph"/>
              <w:spacing w:before="4"/>
              <w:rPr>
                <w:b/>
                <w:sz w:val="23"/>
              </w:rPr>
            </w:pPr>
          </w:p>
          <w:p>
            <w:pPr>
              <w:pStyle w:val="TableParagraph"/>
              <w:spacing w:line="263" w:lineRule="exact"/>
              <w:ind w:left="105"/>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452512</w:t>
            </w:r>
          </w:p>
        </w:tc>
        <w:tc>
          <w:tcPr>
            <w:tcW w:w="1135" w:type="dxa"/>
          </w:tcPr>
          <w:p>
            <w:pPr>
              <w:pStyle w:val="TableParagraph"/>
              <w:spacing w:before="4"/>
              <w:rPr>
                <w:b/>
                <w:sz w:val="23"/>
              </w:rPr>
            </w:pPr>
          </w:p>
          <w:p>
            <w:pPr>
              <w:pStyle w:val="TableParagraph"/>
              <w:spacing w:line="263" w:lineRule="exact"/>
              <w:ind w:left="109"/>
              <w:rPr>
                <w:sz w:val="24"/>
              </w:rPr>
            </w:pPr>
            <w:r>
              <w:rPr>
                <w:sz w:val="24"/>
              </w:rPr>
              <w:t>USFS</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48.5</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- 118.62</w:t>
            </w:r>
          </w:p>
        </w:tc>
        <w:tc>
          <w:tcPr>
            <w:tcW w:w="759" w:type="dxa"/>
          </w:tcPr>
          <w:p>
            <w:pPr>
              <w:pStyle w:val="TableParagraph"/>
              <w:spacing w:before="4"/>
              <w:rPr>
                <w:b/>
                <w:sz w:val="23"/>
              </w:rPr>
            </w:pPr>
          </w:p>
          <w:p>
            <w:pPr>
              <w:pStyle w:val="TableParagraph"/>
              <w:spacing w:line="263" w:lineRule="exact"/>
              <w:ind w:left="91" w:right="83"/>
              <w:jc w:val="center"/>
              <w:rPr>
                <w:sz w:val="24"/>
              </w:rPr>
            </w:pPr>
            <w:r>
              <w:rPr>
                <w:sz w:val="24"/>
              </w:rPr>
              <w:t>4325</w:t>
            </w:r>
          </w:p>
        </w:tc>
      </w:tr>
      <w:tr>
        <w:trPr>
          <w:trHeight w:val="554" w:hRule="atLeast"/>
        </w:trPr>
        <w:tc>
          <w:tcPr>
            <w:tcW w:w="960" w:type="dxa"/>
          </w:tcPr>
          <w:p>
            <w:pPr>
              <w:pStyle w:val="TableParagraph"/>
              <w:spacing w:before="7"/>
              <w:rPr>
                <w:b/>
                <w:sz w:val="23"/>
              </w:rPr>
            </w:pPr>
          </w:p>
          <w:p>
            <w:pPr>
              <w:pStyle w:val="TableParagraph"/>
              <w:spacing w:line="263" w:lineRule="exact"/>
              <w:ind w:left="107"/>
              <w:rPr>
                <w:sz w:val="24"/>
              </w:rPr>
            </w:pPr>
            <w:r>
              <w:rPr>
                <w:sz w:val="24"/>
              </w:rPr>
              <w:t>687</w:t>
            </w:r>
          </w:p>
        </w:tc>
        <w:tc>
          <w:tcPr>
            <w:tcW w:w="2402" w:type="dxa"/>
          </w:tcPr>
          <w:p>
            <w:pPr>
              <w:pStyle w:val="TableParagraph"/>
              <w:spacing w:before="7"/>
              <w:rPr>
                <w:b/>
                <w:sz w:val="23"/>
              </w:rPr>
            </w:pPr>
          </w:p>
          <w:p>
            <w:pPr>
              <w:pStyle w:val="TableParagraph"/>
              <w:spacing w:line="263" w:lineRule="exact"/>
              <w:ind w:left="107"/>
              <w:rPr>
                <w:sz w:val="24"/>
              </w:rPr>
            </w:pPr>
            <w:r>
              <w:rPr>
                <w:sz w:val="24"/>
              </w:rPr>
              <w:t>Lost Lake</w:t>
            </w:r>
          </w:p>
        </w:tc>
        <w:tc>
          <w:tcPr>
            <w:tcW w:w="777" w:type="dxa"/>
          </w:tcPr>
          <w:p>
            <w:pPr>
              <w:pStyle w:val="TableParagraph"/>
              <w:spacing w:before="7"/>
              <w:rPr>
                <w:b/>
                <w:sz w:val="23"/>
              </w:rPr>
            </w:pPr>
          </w:p>
          <w:p>
            <w:pPr>
              <w:pStyle w:val="TableParagraph"/>
              <w:spacing w:line="263" w:lineRule="exact"/>
              <w:ind w:left="105"/>
              <w:rPr>
                <w:sz w:val="24"/>
              </w:rPr>
            </w:pPr>
            <w:r>
              <w:rPr>
                <w:w w:val="98"/>
                <w:sz w:val="24"/>
              </w:rPr>
              <w:t>R</w:t>
            </w:r>
          </w:p>
        </w:tc>
        <w:tc>
          <w:tcPr>
            <w:tcW w:w="1269" w:type="dxa"/>
          </w:tcPr>
          <w:p>
            <w:pPr>
              <w:pStyle w:val="TableParagraph"/>
              <w:spacing w:before="7"/>
              <w:rPr>
                <w:b/>
                <w:sz w:val="23"/>
              </w:rPr>
            </w:pPr>
          </w:p>
          <w:p>
            <w:pPr>
              <w:pStyle w:val="TableParagraph"/>
              <w:spacing w:line="263" w:lineRule="exact"/>
              <w:ind w:left="108"/>
              <w:rPr>
                <w:sz w:val="24"/>
              </w:rPr>
            </w:pPr>
            <w:r>
              <w:rPr>
                <w:sz w:val="24"/>
              </w:rPr>
              <w:t>452029</w:t>
            </w:r>
          </w:p>
        </w:tc>
        <w:tc>
          <w:tcPr>
            <w:tcW w:w="1135" w:type="dxa"/>
          </w:tcPr>
          <w:p>
            <w:pPr>
              <w:pStyle w:val="TableParagraph"/>
              <w:spacing w:before="7"/>
              <w:rPr>
                <w:b/>
                <w:sz w:val="23"/>
              </w:rPr>
            </w:pPr>
          </w:p>
          <w:p>
            <w:pPr>
              <w:pStyle w:val="TableParagraph"/>
              <w:spacing w:line="263" w:lineRule="exact"/>
              <w:ind w:left="109"/>
              <w:rPr>
                <w:sz w:val="24"/>
              </w:rPr>
            </w:pPr>
            <w:r>
              <w:rPr>
                <w:sz w:val="24"/>
              </w:rPr>
              <w:t>USFS</w:t>
            </w:r>
          </w:p>
        </w:tc>
        <w:tc>
          <w:tcPr>
            <w:tcW w:w="821" w:type="dxa"/>
          </w:tcPr>
          <w:p>
            <w:pPr>
              <w:pStyle w:val="TableParagraph"/>
              <w:spacing w:before="7"/>
              <w:rPr>
                <w:b/>
                <w:sz w:val="23"/>
              </w:rPr>
            </w:pPr>
          </w:p>
          <w:p>
            <w:pPr>
              <w:pStyle w:val="TableParagraph"/>
              <w:spacing w:line="263" w:lineRule="exact"/>
              <w:ind w:left="125" w:right="178"/>
              <w:jc w:val="center"/>
              <w:rPr>
                <w:sz w:val="24"/>
              </w:rPr>
            </w:pPr>
            <w:r>
              <w:rPr>
                <w:sz w:val="24"/>
              </w:rPr>
              <w:t>48.8</w:t>
            </w:r>
          </w:p>
        </w:tc>
        <w:tc>
          <w:tcPr>
            <w:tcW w:w="1169" w:type="dxa"/>
          </w:tcPr>
          <w:p>
            <w:pPr>
              <w:pStyle w:val="TableParagraph"/>
              <w:spacing w:before="7"/>
              <w:rPr>
                <w:b/>
                <w:sz w:val="23"/>
              </w:rPr>
            </w:pPr>
          </w:p>
          <w:p>
            <w:pPr>
              <w:pStyle w:val="TableParagraph"/>
              <w:spacing w:line="263" w:lineRule="exact"/>
              <w:ind w:left="89" w:right="148"/>
              <w:jc w:val="center"/>
              <w:rPr>
                <w:sz w:val="24"/>
              </w:rPr>
            </w:pPr>
            <w:r>
              <w:rPr>
                <w:sz w:val="24"/>
              </w:rPr>
              <w:t>- 119.06</w:t>
            </w:r>
          </w:p>
        </w:tc>
        <w:tc>
          <w:tcPr>
            <w:tcW w:w="759" w:type="dxa"/>
          </w:tcPr>
          <w:p>
            <w:pPr>
              <w:pStyle w:val="TableParagraph"/>
              <w:spacing w:before="7"/>
              <w:rPr>
                <w:b/>
                <w:sz w:val="23"/>
              </w:rPr>
            </w:pPr>
          </w:p>
          <w:p>
            <w:pPr>
              <w:pStyle w:val="TableParagraph"/>
              <w:spacing w:line="263" w:lineRule="exact"/>
              <w:ind w:left="91" w:right="83"/>
              <w:jc w:val="center"/>
              <w:rPr>
                <w:sz w:val="24"/>
              </w:rPr>
            </w:pPr>
            <w:r>
              <w:rPr>
                <w:sz w:val="24"/>
              </w:rPr>
              <w:t>3760</w:t>
            </w:r>
          </w:p>
        </w:tc>
      </w:tr>
      <w:tr>
        <w:trPr>
          <w:trHeight w:val="275" w:hRule="atLeast"/>
        </w:trPr>
        <w:tc>
          <w:tcPr>
            <w:tcW w:w="960" w:type="dxa"/>
          </w:tcPr>
          <w:p>
            <w:pPr>
              <w:pStyle w:val="TableParagraph"/>
              <w:rPr>
                <w:rFonts w:ascii="Times New Roman"/>
                <w:sz w:val="20"/>
              </w:rPr>
            </w:pPr>
          </w:p>
        </w:tc>
        <w:tc>
          <w:tcPr>
            <w:tcW w:w="2402" w:type="dxa"/>
          </w:tcPr>
          <w:p>
            <w:pPr>
              <w:pStyle w:val="TableParagraph"/>
              <w:rPr>
                <w:rFonts w:ascii="Times New Roman"/>
                <w:sz w:val="20"/>
              </w:rPr>
            </w:pPr>
          </w:p>
        </w:tc>
        <w:tc>
          <w:tcPr>
            <w:tcW w:w="777" w:type="dxa"/>
          </w:tcPr>
          <w:p>
            <w:pPr>
              <w:pStyle w:val="TableParagraph"/>
              <w:rPr>
                <w:rFonts w:ascii="Times New Roman"/>
                <w:sz w:val="20"/>
              </w:rPr>
            </w:pPr>
          </w:p>
        </w:tc>
        <w:tc>
          <w:tcPr>
            <w:tcW w:w="1269" w:type="dxa"/>
          </w:tcPr>
          <w:p>
            <w:pPr>
              <w:pStyle w:val="TableParagraph"/>
              <w:rPr>
                <w:rFonts w:ascii="Times New Roman"/>
                <w:sz w:val="20"/>
              </w:rPr>
            </w:pPr>
          </w:p>
        </w:tc>
        <w:tc>
          <w:tcPr>
            <w:tcW w:w="1135" w:type="dxa"/>
          </w:tcPr>
          <w:p>
            <w:pPr>
              <w:pStyle w:val="TableParagraph"/>
              <w:rPr>
                <w:rFonts w:ascii="Times New Roman"/>
                <w:sz w:val="20"/>
              </w:rPr>
            </w:pPr>
          </w:p>
        </w:tc>
        <w:tc>
          <w:tcPr>
            <w:tcW w:w="821" w:type="dxa"/>
          </w:tcPr>
          <w:p>
            <w:pPr>
              <w:pStyle w:val="TableParagraph"/>
              <w:rPr>
                <w:rFonts w:ascii="Times New Roman"/>
                <w:sz w:val="20"/>
              </w:rPr>
            </w:pPr>
          </w:p>
        </w:tc>
        <w:tc>
          <w:tcPr>
            <w:tcW w:w="1169" w:type="dxa"/>
          </w:tcPr>
          <w:p>
            <w:pPr>
              <w:pStyle w:val="TableParagraph"/>
              <w:rPr>
                <w:rFonts w:ascii="Times New Roman"/>
                <w:sz w:val="20"/>
              </w:rPr>
            </w:pPr>
          </w:p>
        </w:tc>
        <w:tc>
          <w:tcPr>
            <w:tcW w:w="759" w:type="dxa"/>
          </w:tcPr>
          <w:p>
            <w:pPr>
              <w:pStyle w:val="TableParagraph"/>
              <w:rPr>
                <w:rFonts w:ascii="Times New Roman"/>
                <w:sz w:val="20"/>
              </w:rPr>
            </w:pP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101</w:t>
            </w:r>
          </w:p>
        </w:tc>
        <w:tc>
          <w:tcPr>
            <w:tcW w:w="2402" w:type="dxa"/>
          </w:tcPr>
          <w:p>
            <w:pPr>
              <w:pStyle w:val="TableParagraph"/>
              <w:spacing w:before="4"/>
              <w:rPr>
                <w:b/>
                <w:sz w:val="23"/>
              </w:rPr>
            </w:pPr>
          </w:p>
          <w:p>
            <w:pPr>
              <w:pStyle w:val="TableParagraph"/>
              <w:spacing w:line="263" w:lineRule="exact"/>
              <w:ind w:left="107"/>
              <w:rPr>
                <w:sz w:val="24"/>
              </w:rPr>
            </w:pPr>
            <w:r>
              <w:rPr>
                <w:sz w:val="24"/>
              </w:rPr>
              <w:t>Bonners Ferry</w:t>
            </w:r>
          </w:p>
        </w:tc>
        <w:tc>
          <w:tcPr>
            <w:tcW w:w="777" w:type="dxa"/>
          </w:tcPr>
          <w:p>
            <w:pPr>
              <w:pStyle w:val="TableParagraph"/>
              <w:spacing w:before="4"/>
              <w:rPr>
                <w:b/>
                <w:sz w:val="23"/>
              </w:rPr>
            </w:pPr>
          </w:p>
          <w:p>
            <w:pPr>
              <w:pStyle w:val="TableParagraph"/>
              <w:spacing w:line="263" w:lineRule="exact"/>
              <w:ind w:left="105"/>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100101</w:t>
            </w:r>
          </w:p>
        </w:tc>
        <w:tc>
          <w:tcPr>
            <w:tcW w:w="1135" w:type="dxa"/>
          </w:tcPr>
          <w:p>
            <w:pPr>
              <w:pStyle w:val="TableParagraph"/>
              <w:spacing w:before="4"/>
              <w:rPr>
                <w:b/>
                <w:sz w:val="23"/>
              </w:rPr>
            </w:pPr>
          </w:p>
          <w:p>
            <w:pPr>
              <w:pStyle w:val="TableParagraph"/>
              <w:spacing w:line="263" w:lineRule="exact"/>
              <w:ind w:left="109"/>
              <w:rPr>
                <w:sz w:val="24"/>
              </w:rPr>
            </w:pPr>
            <w:r>
              <w:rPr>
                <w:sz w:val="24"/>
              </w:rPr>
              <w:t>USFS</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48.7</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- 116.35</w:t>
            </w:r>
          </w:p>
        </w:tc>
        <w:tc>
          <w:tcPr>
            <w:tcW w:w="759" w:type="dxa"/>
          </w:tcPr>
          <w:p>
            <w:pPr>
              <w:pStyle w:val="TableParagraph"/>
              <w:spacing w:before="4"/>
              <w:rPr>
                <w:b/>
                <w:sz w:val="23"/>
              </w:rPr>
            </w:pPr>
          </w:p>
          <w:p>
            <w:pPr>
              <w:pStyle w:val="TableParagraph"/>
              <w:spacing w:line="263" w:lineRule="exact"/>
              <w:ind w:left="91" w:right="83"/>
              <w:jc w:val="center"/>
              <w:rPr>
                <w:sz w:val="24"/>
              </w:rPr>
            </w:pPr>
            <w:r>
              <w:rPr>
                <w:sz w:val="24"/>
              </w:rPr>
              <w:t>2310</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101</w:t>
            </w:r>
          </w:p>
        </w:tc>
        <w:tc>
          <w:tcPr>
            <w:tcW w:w="2402" w:type="dxa"/>
          </w:tcPr>
          <w:p>
            <w:pPr>
              <w:pStyle w:val="TableParagraph"/>
              <w:spacing w:before="4"/>
              <w:rPr>
                <w:b/>
                <w:sz w:val="23"/>
              </w:rPr>
            </w:pPr>
          </w:p>
          <w:p>
            <w:pPr>
              <w:pStyle w:val="TableParagraph"/>
              <w:spacing w:line="263" w:lineRule="exact"/>
              <w:ind w:left="107"/>
              <w:rPr>
                <w:sz w:val="24"/>
              </w:rPr>
            </w:pPr>
            <w:r>
              <w:rPr>
                <w:sz w:val="24"/>
              </w:rPr>
              <w:t>Magee Peak</w:t>
            </w:r>
          </w:p>
        </w:tc>
        <w:tc>
          <w:tcPr>
            <w:tcW w:w="777" w:type="dxa"/>
          </w:tcPr>
          <w:p>
            <w:pPr>
              <w:pStyle w:val="TableParagraph"/>
              <w:spacing w:before="4"/>
              <w:rPr>
                <w:b/>
                <w:sz w:val="23"/>
              </w:rPr>
            </w:pPr>
          </w:p>
          <w:p>
            <w:pPr>
              <w:pStyle w:val="TableParagraph"/>
              <w:spacing w:line="263" w:lineRule="exact"/>
              <w:ind w:left="105"/>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100425</w:t>
            </w:r>
          </w:p>
        </w:tc>
        <w:tc>
          <w:tcPr>
            <w:tcW w:w="1135" w:type="dxa"/>
          </w:tcPr>
          <w:p>
            <w:pPr>
              <w:pStyle w:val="TableParagraph"/>
              <w:spacing w:before="4"/>
              <w:rPr>
                <w:b/>
                <w:sz w:val="23"/>
              </w:rPr>
            </w:pPr>
          </w:p>
          <w:p>
            <w:pPr>
              <w:pStyle w:val="TableParagraph"/>
              <w:spacing w:line="263" w:lineRule="exact"/>
              <w:ind w:left="109"/>
              <w:rPr>
                <w:sz w:val="24"/>
              </w:rPr>
            </w:pPr>
            <w:r>
              <w:rPr>
                <w:sz w:val="24"/>
              </w:rPr>
              <w:t>USFS</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47.8</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- 116.31</w:t>
            </w:r>
          </w:p>
        </w:tc>
        <w:tc>
          <w:tcPr>
            <w:tcW w:w="759" w:type="dxa"/>
          </w:tcPr>
          <w:p>
            <w:pPr>
              <w:pStyle w:val="TableParagraph"/>
              <w:spacing w:before="4"/>
              <w:rPr>
                <w:b/>
                <w:sz w:val="23"/>
              </w:rPr>
            </w:pPr>
          </w:p>
          <w:p>
            <w:pPr>
              <w:pStyle w:val="TableParagraph"/>
              <w:spacing w:line="263" w:lineRule="exact"/>
              <w:ind w:left="91" w:right="83"/>
              <w:jc w:val="center"/>
              <w:rPr>
                <w:sz w:val="24"/>
              </w:rPr>
            </w:pPr>
            <w:r>
              <w:rPr>
                <w:sz w:val="24"/>
              </w:rPr>
              <w:t>4856</w:t>
            </w:r>
          </w:p>
        </w:tc>
      </w:tr>
      <w:tr>
        <w:trPr>
          <w:trHeight w:val="554" w:hRule="atLeast"/>
        </w:trPr>
        <w:tc>
          <w:tcPr>
            <w:tcW w:w="960" w:type="dxa"/>
          </w:tcPr>
          <w:p>
            <w:pPr>
              <w:pStyle w:val="TableParagraph"/>
              <w:spacing w:before="7"/>
              <w:rPr>
                <w:b/>
                <w:sz w:val="23"/>
              </w:rPr>
            </w:pPr>
          </w:p>
          <w:p>
            <w:pPr>
              <w:pStyle w:val="TableParagraph"/>
              <w:spacing w:line="263" w:lineRule="exact"/>
              <w:ind w:left="107"/>
              <w:rPr>
                <w:sz w:val="24"/>
              </w:rPr>
            </w:pPr>
            <w:r>
              <w:rPr>
                <w:sz w:val="24"/>
              </w:rPr>
              <w:t>101</w:t>
            </w:r>
          </w:p>
        </w:tc>
        <w:tc>
          <w:tcPr>
            <w:tcW w:w="2402" w:type="dxa"/>
          </w:tcPr>
          <w:p>
            <w:pPr>
              <w:pStyle w:val="TableParagraph"/>
              <w:spacing w:before="7"/>
              <w:rPr>
                <w:b/>
                <w:sz w:val="23"/>
              </w:rPr>
            </w:pPr>
          </w:p>
          <w:p>
            <w:pPr>
              <w:pStyle w:val="TableParagraph"/>
              <w:spacing w:line="263" w:lineRule="exact"/>
              <w:ind w:left="107"/>
              <w:rPr>
                <w:sz w:val="24"/>
              </w:rPr>
            </w:pPr>
            <w:r>
              <w:rPr>
                <w:sz w:val="24"/>
              </w:rPr>
              <w:t>Fish Hook</w:t>
            </w:r>
          </w:p>
        </w:tc>
        <w:tc>
          <w:tcPr>
            <w:tcW w:w="777" w:type="dxa"/>
          </w:tcPr>
          <w:p>
            <w:pPr>
              <w:pStyle w:val="TableParagraph"/>
              <w:spacing w:before="7"/>
              <w:rPr>
                <w:b/>
                <w:sz w:val="23"/>
              </w:rPr>
            </w:pPr>
          </w:p>
          <w:p>
            <w:pPr>
              <w:pStyle w:val="TableParagraph"/>
              <w:spacing w:line="263" w:lineRule="exact"/>
              <w:ind w:left="105"/>
              <w:rPr>
                <w:sz w:val="24"/>
              </w:rPr>
            </w:pPr>
            <w:r>
              <w:rPr>
                <w:w w:val="98"/>
                <w:sz w:val="24"/>
              </w:rPr>
              <w:t>R</w:t>
            </w:r>
          </w:p>
        </w:tc>
        <w:tc>
          <w:tcPr>
            <w:tcW w:w="1269" w:type="dxa"/>
          </w:tcPr>
          <w:p>
            <w:pPr>
              <w:pStyle w:val="TableParagraph"/>
              <w:spacing w:before="7"/>
              <w:rPr>
                <w:b/>
                <w:sz w:val="23"/>
              </w:rPr>
            </w:pPr>
          </w:p>
          <w:p>
            <w:pPr>
              <w:pStyle w:val="TableParagraph"/>
              <w:spacing w:line="263" w:lineRule="exact"/>
              <w:ind w:left="108"/>
              <w:rPr>
                <w:sz w:val="24"/>
              </w:rPr>
            </w:pPr>
            <w:r>
              <w:rPr>
                <w:sz w:val="24"/>
              </w:rPr>
              <w:t>100421</w:t>
            </w:r>
          </w:p>
        </w:tc>
        <w:tc>
          <w:tcPr>
            <w:tcW w:w="1135" w:type="dxa"/>
          </w:tcPr>
          <w:p>
            <w:pPr>
              <w:pStyle w:val="TableParagraph"/>
              <w:spacing w:before="7"/>
              <w:rPr>
                <w:b/>
                <w:sz w:val="23"/>
              </w:rPr>
            </w:pPr>
          </w:p>
          <w:p>
            <w:pPr>
              <w:pStyle w:val="TableParagraph"/>
              <w:spacing w:line="263" w:lineRule="exact"/>
              <w:ind w:left="109"/>
              <w:rPr>
                <w:sz w:val="24"/>
              </w:rPr>
            </w:pPr>
            <w:r>
              <w:rPr>
                <w:sz w:val="24"/>
              </w:rPr>
              <w:t>USFS</w:t>
            </w:r>
          </w:p>
        </w:tc>
        <w:tc>
          <w:tcPr>
            <w:tcW w:w="821" w:type="dxa"/>
          </w:tcPr>
          <w:p>
            <w:pPr>
              <w:pStyle w:val="TableParagraph"/>
              <w:spacing w:before="7"/>
              <w:rPr>
                <w:b/>
                <w:sz w:val="23"/>
              </w:rPr>
            </w:pPr>
          </w:p>
          <w:p>
            <w:pPr>
              <w:pStyle w:val="TableParagraph"/>
              <w:spacing w:line="263" w:lineRule="exact"/>
              <w:ind w:left="125" w:right="178"/>
              <w:jc w:val="center"/>
              <w:rPr>
                <w:sz w:val="24"/>
              </w:rPr>
            </w:pPr>
            <w:r>
              <w:rPr>
                <w:sz w:val="24"/>
              </w:rPr>
              <w:t>47.8</w:t>
            </w:r>
          </w:p>
        </w:tc>
        <w:tc>
          <w:tcPr>
            <w:tcW w:w="1169" w:type="dxa"/>
          </w:tcPr>
          <w:p>
            <w:pPr>
              <w:pStyle w:val="TableParagraph"/>
              <w:spacing w:before="7"/>
              <w:rPr>
                <w:b/>
                <w:sz w:val="23"/>
              </w:rPr>
            </w:pPr>
          </w:p>
          <w:p>
            <w:pPr>
              <w:pStyle w:val="TableParagraph"/>
              <w:spacing w:line="263" w:lineRule="exact"/>
              <w:ind w:left="89" w:right="148"/>
              <w:jc w:val="center"/>
              <w:rPr>
                <w:sz w:val="24"/>
              </w:rPr>
            </w:pPr>
            <w:r>
              <w:rPr>
                <w:sz w:val="24"/>
              </w:rPr>
              <w:t>- 115.91</w:t>
            </w:r>
          </w:p>
        </w:tc>
        <w:tc>
          <w:tcPr>
            <w:tcW w:w="759" w:type="dxa"/>
          </w:tcPr>
          <w:p>
            <w:pPr>
              <w:pStyle w:val="TableParagraph"/>
              <w:spacing w:before="7"/>
              <w:rPr>
                <w:b/>
                <w:sz w:val="23"/>
              </w:rPr>
            </w:pPr>
          </w:p>
          <w:p>
            <w:pPr>
              <w:pStyle w:val="TableParagraph"/>
              <w:spacing w:line="263" w:lineRule="exact"/>
              <w:ind w:left="91" w:right="83"/>
              <w:jc w:val="center"/>
              <w:rPr>
                <w:sz w:val="24"/>
              </w:rPr>
            </w:pPr>
            <w:r>
              <w:rPr>
                <w:sz w:val="24"/>
              </w:rPr>
              <w:t>4700</w:t>
            </w:r>
          </w:p>
        </w:tc>
      </w:tr>
      <w:tr>
        <w:trPr>
          <w:trHeight w:val="554" w:hRule="atLeast"/>
        </w:trPr>
        <w:tc>
          <w:tcPr>
            <w:tcW w:w="960" w:type="dxa"/>
          </w:tcPr>
          <w:p>
            <w:pPr>
              <w:pStyle w:val="TableParagraph"/>
              <w:spacing w:before="4"/>
              <w:rPr>
                <w:b/>
                <w:sz w:val="23"/>
              </w:rPr>
            </w:pPr>
          </w:p>
          <w:p>
            <w:pPr>
              <w:pStyle w:val="TableParagraph"/>
              <w:spacing w:line="265" w:lineRule="exact"/>
              <w:ind w:left="107"/>
              <w:rPr>
                <w:sz w:val="24"/>
              </w:rPr>
            </w:pPr>
            <w:r>
              <w:rPr>
                <w:sz w:val="24"/>
              </w:rPr>
              <w:t>101</w:t>
            </w:r>
          </w:p>
        </w:tc>
        <w:tc>
          <w:tcPr>
            <w:tcW w:w="2402" w:type="dxa"/>
          </w:tcPr>
          <w:p>
            <w:pPr>
              <w:pStyle w:val="TableParagraph"/>
              <w:spacing w:before="4"/>
              <w:rPr>
                <w:b/>
                <w:sz w:val="23"/>
              </w:rPr>
            </w:pPr>
          </w:p>
          <w:p>
            <w:pPr>
              <w:pStyle w:val="TableParagraph"/>
              <w:spacing w:line="265" w:lineRule="exact"/>
              <w:ind w:left="107"/>
              <w:rPr>
                <w:sz w:val="24"/>
              </w:rPr>
            </w:pPr>
            <w:r>
              <w:rPr>
                <w:sz w:val="24"/>
              </w:rPr>
              <w:t>Hoodoo</w:t>
            </w:r>
          </w:p>
        </w:tc>
        <w:tc>
          <w:tcPr>
            <w:tcW w:w="777" w:type="dxa"/>
          </w:tcPr>
          <w:p>
            <w:pPr>
              <w:pStyle w:val="TableParagraph"/>
              <w:spacing w:before="4"/>
              <w:rPr>
                <w:b/>
                <w:sz w:val="23"/>
              </w:rPr>
            </w:pPr>
          </w:p>
          <w:p>
            <w:pPr>
              <w:pStyle w:val="TableParagraph"/>
              <w:spacing w:line="265" w:lineRule="exact"/>
              <w:ind w:left="105"/>
              <w:rPr>
                <w:sz w:val="24"/>
              </w:rPr>
            </w:pPr>
            <w:r>
              <w:rPr>
                <w:w w:val="98"/>
                <w:sz w:val="24"/>
              </w:rPr>
              <w:t>R</w:t>
            </w:r>
          </w:p>
        </w:tc>
        <w:tc>
          <w:tcPr>
            <w:tcW w:w="1269" w:type="dxa"/>
          </w:tcPr>
          <w:p>
            <w:pPr>
              <w:pStyle w:val="TableParagraph"/>
              <w:spacing w:before="4"/>
              <w:rPr>
                <w:b/>
                <w:sz w:val="23"/>
              </w:rPr>
            </w:pPr>
          </w:p>
          <w:p>
            <w:pPr>
              <w:pStyle w:val="TableParagraph"/>
              <w:spacing w:line="265" w:lineRule="exact"/>
              <w:ind w:left="108"/>
              <w:rPr>
                <w:sz w:val="24"/>
              </w:rPr>
            </w:pPr>
            <w:r>
              <w:rPr>
                <w:sz w:val="24"/>
              </w:rPr>
              <w:t>100208</w:t>
            </w:r>
          </w:p>
        </w:tc>
        <w:tc>
          <w:tcPr>
            <w:tcW w:w="1135" w:type="dxa"/>
          </w:tcPr>
          <w:p>
            <w:pPr>
              <w:pStyle w:val="TableParagraph"/>
              <w:spacing w:before="4"/>
              <w:rPr>
                <w:b/>
                <w:sz w:val="23"/>
              </w:rPr>
            </w:pPr>
          </w:p>
          <w:p>
            <w:pPr>
              <w:pStyle w:val="TableParagraph"/>
              <w:spacing w:line="265" w:lineRule="exact"/>
              <w:ind w:left="109"/>
              <w:rPr>
                <w:sz w:val="24"/>
              </w:rPr>
            </w:pPr>
            <w:r>
              <w:rPr>
                <w:sz w:val="24"/>
              </w:rPr>
              <w:t>USFS</w:t>
            </w:r>
          </w:p>
        </w:tc>
        <w:tc>
          <w:tcPr>
            <w:tcW w:w="821" w:type="dxa"/>
          </w:tcPr>
          <w:p>
            <w:pPr>
              <w:pStyle w:val="TableParagraph"/>
              <w:spacing w:before="4"/>
              <w:rPr>
                <w:b/>
                <w:sz w:val="23"/>
              </w:rPr>
            </w:pPr>
          </w:p>
          <w:p>
            <w:pPr>
              <w:pStyle w:val="TableParagraph"/>
              <w:spacing w:line="265" w:lineRule="exact"/>
              <w:ind w:left="125" w:right="178"/>
              <w:jc w:val="center"/>
              <w:rPr>
                <w:sz w:val="24"/>
              </w:rPr>
            </w:pPr>
            <w:r>
              <w:rPr>
                <w:sz w:val="24"/>
              </w:rPr>
              <w:t>48.0</w:t>
            </w:r>
          </w:p>
        </w:tc>
        <w:tc>
          <w:tcPr>
            <w:tcW w:w="1169" w:type="dxa"/>
          </w:tcPr>
          <w:p>
            <w:pPr>
              <w:pStyle w:val="TableParagraph"/>
              <w:spacing w:before="7"/>
              <w:rPr>
                <w:b/>
                <w:sz w:val="23"/>
              </w:rPr>
            </w:pPr>
          </w:p>
          <w:p>
            <w:pPr>
              <w:pStyle w:val="TableParagraph"/>
              <w:spacing w:line="263" w:lineRule="exact"/>
              <w:ind w:left="89" w:right="148"/>
              <w:jc w:val="center"/>
              <w:rPr>
                <w:sz w:val="24"/>
              </w:rPr>
            </w:pPr>
            <w:r>
              <w:rPr>
                <w:sz w:val="24"/>
              </w:rPr>
              <w:t>- 116.84</w:t>
            </w:r>
          </w:p>
        </w:tc>
        <w:tc>
          <w:tcPr>
            <w:tcW w:w="759" w:type="dxa"/>
          </w:tcPr>
          <w:p>
            <w:pPr>
              <w:pStyle w:val="TableParagraph"/>
              <w:spacing w:before="4"/>
              <w:rPr>
                <w:b/>
                <w:sz w:val="23"/>
              </w:rPr>
            </w:pPr>
          </w:p>
          <w:p>
            <w:pPr>
              <w:pStyle w:val="TableParagraph"/>
              <w:spacing w:line="265" w:lineRule="exact"/>
              <w:ind w:left="91" w:right="83"/>
              <w:jc w:val="center"/>
              <w:rPr>
                <w:sz w:val="24"/>
              </w:rPr>
            </w:pPr>
            <w:r>
              <w:rPr>
                <w:sz w:val="24"/>
              </w:rPr>
              <w:t>2270</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101</w:t>
            </w:r>
          </w:p>
        </w:tc>
        <w:tc>
          <w:tcPr>
            <w:tcW w:w="2402" w:type="dxa"/>
          </w:tcPr>
          <w:p>
            <w:pPr>
              <w:pStyle w:val="TableParagraph"/>
              <w:spacing w:before="4"/>
              <w:rPr>
                <w:b/>
                <w:sz w:val="23"/>
              </w:rPr>
            </w:pPr>
          </w:p>
          <w:p>
            <w:pPr>
              <w:pStyle w:val="TableParagraph"/>
              <w:spacing w:line="263" w:lineRule="exact"/>
              <w:ind w:left="107"/>
              <w:rPr>
                <w:sz w:val="24"/>
              </w:rPr>
            </w:pPr>
            <w:r>
              <w:rPr>
                <w:sz w:val="24"/>
              </w:rPr>
              <w:t>Lines Creek</w:t>
            </w:r>
          </w:p>
        </w:tc>
        <w:tc>
          <w:tcPr>
            <w:tcW w:w="777" w:type="dxa"/>
          </w:tcPr>
          <w:p>
            <w:pPr>
              <w:pStyle w:val="TableParagraph"/>
              <w:spacing w:before="4"/>
              <w:rPr>
                <w:b/>
                <w:sz w:val="23"/>
              </w:rPr>
            </w:pPr>
          </w:p>
          <w:p>
            <w:pPr>
              <w:pStyle w:val="TableParagraph"/>
              <w:spacing w:line="263" w:lineRule="exact"/>
              <w:ind w:left="105"/>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100424</w:t>
            </w:r>
          </w:p>
        </w:tc>
        <w:tc>
          <w:tcPr>
            <w:tcW w:w="1135" w:type="dxa"/>
          </w:tcPr>
          <w:p>
            <w:pPr>
              <w:pStyle w:val="TableParagraph"/>
              <w:spacing w:before="4"/>
              <w:rPr>
                <w:b/>
                <w:sz w:val="23"/>
              </w:rPr>
            </w:pPr>
          </w:p>
          <w:p>
            <w:pPr>
              <w:pStyle w:val="TableParagraph"/>
              <w:spacing w:line="263" w:lineRule="exact"/>
              <w:ind w:left="109"/>
              <w:rPr>
                <w:sz w:val="24"/>
              </w:rPr>
            </w:pPr>
            <w:r>
              <w:rPr>
                <w:sz w:val="24"/>
              </w:rPr>
              <w:t>USFS</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48.1</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- 116.29</w:t>
            </w:r>
          </w:p>
        </w:tc>
        <w:tc>
          <w:tcPr>
            <w:tcW w:w="759" w:type="dxa"/>
          </w:tcPr>
          <w:p>
            <w:pPr>
              <w:pStyle w:val="TableParagraph"/>
              <w:spacing w:before="4"/>
              <w:rPr>
                <w:b/>
                <w:sz w:val="23"/>
              </w:rPr>
            </w:pPr>
          </w:p>
          <w:p>
            <w:pPr>
              <w:pStyle w:val="TableParagraph"/>
              <w:spacing w:line="263" w:lineRule="exact"/>
              <w:ind w:left="91" w:right="83"/>
              <w:jc w:val="center"/>
              <w:rPr>
                <w:sz w:val="24"/>
              </w:rPr>
            </w:pPr>
            <w:r>
              <w:rPr>
                <w:sz w:val="24"/>
              </w:rPr>
              <w:t>5120</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101</w:t>
            </w:r>
          </w:p>
        </w:tc>
        <w:tc>
          <w:tcPr>
            <w:tcW w:w="2402" w:type="dxa"/>
          </w:tcPr>
          <w:p>
            <w:pPr>
              <w:pStyle w:val="TableParagraph"/>
              <w:spacing w:before="4"/>
              <w:rPr>
                <w:b/>
                <w:sz w:val="23"/>
              </w:rPr>
            </w:pPr>
          </w:p>
          <w:p>
            <w:pPr>
              <w:pStyle w:val="TableParagraph"/>
              <w:spacing w:line="263" w:lineRule="exact"/>
              <w:ind w:left="107"/>
              <w:rPr>
                <w:sz w:val="24"/>
              </w:rPr>
            </w:pPr>
            <w:r>
              <w:rPr>
                <w:sz w:val="24"/>
              </w:rPr>
              <w:t>Nuckols</w:t>
            </w:r>
          </w:p>
        </w:tc>
        <w:tc>
          <w:tcPr>
            <w:tcW w:w="777" w:type="dxa"/>
          </w:tcPr>
          <w:p>
            <w:pPr>
              <w:pStyle w:val="TableParagraph"/>
              <w:spacing w:before="4"/>
              <w:rPr>
                <w:b/>
                <w:sz w:val="23"/>
              </w:rPr>
            </w:pPr>
          </w:p>
          <w:p>
            <w:pPr>
              <w:pStyle w:val="TableParagraph"/>
              <w:spacing w:line="263" w:lineRule="exact"/>
              <w:ind w:left="105"/>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100423</w:t>
            </w:r>
          </w:p>
        </w:tc>
        <w:tc>
          <w:tcPr>
            <w:tcW w:w="1135" w:type="dxa"/>
          </w:tcPr>
          <w:p>
            <w:pPr>
              <w:pStyle w:val="TableParagraph"/>
              <w:spacing w:before="4"/>
              <w:rPr>
                <w:b/>
                <w:sz w:val="23"/>
              </w:rPr>
            </w:pPr>
          </w:p>
          <w:p>
            <w:pPr>
              <w:pStyle w:val="TableParagraph"/>
              <w:spacing w:line="263" w:lineRule="exact"/>
              <w:ind w:left="109"/>
              <w:rPr>
                <w:sz w:val="24"/>
              </w:rPr>
            </w:pPr>
            <w:r>
              <w:rPr>
                <w:sz w:val="24"/>
              </w:rPr>
              <w:t>USFS</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47.5</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- 115.97</w:t>
            </w:r>
          </w:p>
        </w:tc>
        <w:tc>
          <w:tcPr>
            <w:tcW w:w="759" w:type="dxa"/>
          </w:tcPr>
          <w:p>
            <w:pPr>
              <w:pStyle w:val="TableParagraph"/>
              <w:spacing w:before="4"/>
              <w:rPr>
                <w:b/>
                <w:sz w:val="23"/>
              </w:rPr>
            </w:pPr>
          </w:p>
          <w:p>
            <w:pPr>
              <w:pStyle w:val="TableParagraph"/>
              <w:spacing w:line="263" w:lineRule="exact"/>
              <w:ind w:left="91" w:right="83"/>
              <w:jc w:val="center"/>
              <w:rPr>
                <w:sz w:val="24"/>
              </w:rPr>
            </w:pPr>
            <w:r>
              <w:rPr>
                <w:sz w:val="24"/>
              </w:rPr>
              <w:t>4000</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101</w:t>
            </w:r>
          </w:p>
        </w:tc>
        <w:tc>
          <w:tcPr>
            <w:tcW w:w="2402" w:type="dxa"/>
          </w:tcPr>
          <w:p>
            <w:pPr>
              <w:pStyle w:val="TableParagraph"/>
              <w:spacing w:before="4"/>
              <w:rPr>
                <w:b/>
                <w:sz w:val="23"/>
              </w:rPr>
            </w:pPr>
          </w:p>
          <w:p>
            <w:pPr>
              <w:pStyle w:val="TableParagraph"/>
              <w:spacing w:line="263" w:lineRule="exact"/>
              <w:ind w:left="107"/>
              <w:rPr>
                <w:sz w:val="24"/>
              </w:rPr>
            </w:pPr>
            <w:r>
              <w:rPr>
                <w:sz w:val="24"/>
              </w:rPr>
              <w:t>Priest Lake</w:t>
            </w:r>
          </w:p>
        </w:tc>
        <w:tc>
          <w:tcPr>
            <w:tcW w:w="777" w:type="dxa"/>
          </w:tcPr>
          <w:p>
            <w:pPr>
              <w:pStyle w:val="TableParagraph"/>
              <w:spacing w:before="4"/>
              <w:rPr>
                <w:b/>
                <w:sz w:val="23"/>
              </w:rPr>
            </w:pPr>
          </w:p>
          <w:p>
            <w:pPr>
              <w:pStyle w:val="TableParagraph"/>
              <w:spacing w:line="263" w:lineRule="exact"/>
              <w:ind w:left="105"/>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100204</w:t>
            </w:r>
          </w:p>
        </w:tc>
        <w:tc>
          <w:tcPr>
            <w:tcW w:w="1135" w:type="dxa"/>
          </w:tcPr>
          <w:p>
            <w:pPr>
              <w:pStyle w:val="TableParagraph"/>
              <w:spacing w:before="4"/>
              <w:rPr>
                <w:b/>
                <w:sz w:val="23"/>
              </w:rPr>
            </w:pPr>
          </w:p>
          <w:p>
            <w:pPr>
              <w:pStyle w:val="TableParagraph"/>
              <w:spacing w:line="263" w:lineRule="exact"/>
              <w:ind w:left="109"/>
              <w:rPr>
                <w:sz w:val="24"/>
              </w:rPr>
            </w:pPr>
            <w:r>
              <w:rPr>
                <w:sz w:val="24"/>
              </w:rPr>
              <w:t>USFS</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48.6</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- 116.96</w:t>
            </w:r>
          </w:p>
        </w:tc>
        <w:tc>
          <w:tcPr>
            <w:tcW w:w="759" w:type="dxa"/>
          </w:tcPr>
          <w:p>
            <w:pPr>
              <w:pStyle w:val="TableParagraph"/>
              <w:spacing w:before="4"/>
              <w:rPr>
                <w:b/>
                <w:sz w:val="23"/>
              </w:rPr>
            </w:pPr>
          </w:p>
          <w:p>
            <w:pPr>
              <w:pStyle w:val="TableParagraph"/>
              <w:spacing w:line="263" w:lineRule="exact"/>
              <w:ind w:left="91" w:right="83"/>
              <w:jc w:val="center"/>
              <w:rPr>
                <w:sz w:val="24"/>
              </w:rPr>
            </w:pPr>
            <w:r>
              <w:rPr>
                <w:sz w:val="24"/>
              </w:rPr>
              <w:t>2600</w:t>
            </w:r>
          </w:p>
        </w:tc>
      </w:tr>
      <w:tr>
        <w:trPr>
          <w:trHeight w:val="551" w:hRule="atLeast"/>
        </w:trPr>
        <w:tc>
          <w:tcPr>
            <w:tcW w:w="960" w:type="dxa"/>
          </w:tcPr>
          <w:p>
            <w:pPr>
              <w:pStyle w:val="TableParagraph"/>
              <w:spacing w:before="4"/>
              <w:rPr>
                <w:b/>
                <w:sz w:val="23"/>
              </w:rPr>
            </w:pPr>
          </w:p>
          <w:p>
            <w:pPr>
              <w:pStyle w:val="TableParagraph"/>
              <w:spacing w:line="263" w:lineRule="exact"/>
              <w:ind w:left="107"/>
              <w:rPr>
                <w:sz w:val="24"/>
              </w:rPr>
            </w:pPr>
            <w:r>
              <w:rPr>
                <w:sz w:val="24"/>
              </w:rPr>
              <w:t>101</w:t>
            </w:r>
          </w:p>
        </w:tc>
        <w:tc>
          <w:tcPr>
            <w:tcW w:w="2402" w:type="dxa"/>
          </w:tcPr>
          <w:p>
            <w:pPr>
              <w:pStyle w:val="TableParagraph"/>
              <w:spacing w:before="4"/>
              <w:rPr>
                <w:b/>
                <w:sz w:val="23"/>
              </w:rPr>
            </w:pPr>
          </w:p>
          <w:p>
            <w:pPr>
              <w:pStyle w:val="TableParagraph"/>
              <w:spacing w:line="263" w:lineRule="exact"/>
              <w:ind w:left="107"/>
              <w:rPr>
                <w:sz w:val="24"/>
              </w:rPr>
            </w:pPr>
            <w:r>
              <w:rPr>
                <w:sz w:val="24"/>
              </w:rPr>
              <w:t>Saddle Pass</w:t>
            </w:r>
          </w:p>
        </w:tc>
        <w:tc>
          <w:tcPr>
            <w:tcW w:w="777" w:type="dxa"/>
          </w:tcPr>
          <w:p>
            <w:pPr>
              <w:pStyle w:val="TableParagraph"/>
              <w:spacing w:before="4"/>
              <w:rPr>
                <w:b/>
                <w:sz w:val="23"/>
              </w:rPr>
            </w:pPr>
          </w:p>
          <w:p>
            <w:pPr>
              <w:pStyle w:val="TableParagraph"/>
              <w:spacing w:line="263" w:lineRule="exact"/>
              <w:ind w:left="105"/>
              <w:rPr>
                <w:sz w:val="24"/>
              </w:rPr>
            </w:pPr>
            <w:r>
              <w:rPr>
                <w:w w:val="98"/>
                <w:sz w:val="24"/>
              </w:rPr>
              <w:t>R</w:t>
            </w:r>
          </w:p>
        </w:tc>
        <w:tc>
          <w:tcPr>
            <w:tcW w:w="1269" w:type="dxa"/>
          </w:tcPr>
          <w:p>
            <w:pPr>
              <w:pStyle w:val="TableParagraph"/>
              <w:spacing w:before="4"/>
              <w:rPr>
                <w:b/>
                <w:sz w:val="23"/>
              </w:rPr>
            </w:pPr>
          </w:p>
          <w:p>
            <w:pPr>
              <w:pStyle w:val="TableParagraph"/>
              <w:spacing w:line="263" w:lineRule="exact"/>
              <w:ind w:left="108"/>
              <w:rPr>
                <w:sz w:val="24"/>
              </w:rPr>
            </w:pPr>
            <w:r>
              <w:rPr>
                <w:sz w:val="24"/>
              </w:rPr>
              <w:t>100107</w:t>
            </w:r>
          </w:p>
        </w:tc>
        <w:tc>
          <w:tcPr>
            <w:tcW w:w="1135" w:type="dxa"/>
          </w:tcPr>
          <w:p>
            <w:pPr>
              <w:pStyle w:val="TableParagraph"/>
              <w:spacing w:before="4"/>
              <w:rPr>
                <w:b/>
                <w:sz w:val="23"/>
              </w:rPr>
            </w:pPr>
          </w:p>
          <w:p>
            <w:pPr>
              <w:pStyle w:val="TableParagraph"/>
              <w:spacing w:line="263" w:lineRule="exact"/>
              <w:ind w:left="109"/>
              <w:rPr>
                <w:sz w:val="24"/>
              </w:rPr>
            </w:pPr>
            <w:r>
              <w:rPr>
                <w:sz w:val="24"/>
              </w:rPr>
              <w:t>USFS</w:t>
            </w:r>
          </w:p>
        </w:tc>
        <w:tc>
          <w:tcPr>
            <w:tcW w:w="821" w:type="dxa"/>
          </w:tcPr>
          <w:p>
            <w:pPr>
              <w:pStyle w:val="TableParagraph"/>
              <w:spacing w:before="4"/>
              <w:rPr>
                <w:b/>
                <w:sz w:val="23"/>
              </w:rPr>
            </w:pPr>
          </w:p>
          <w:p>
            <w:pPr>
              <w:pStyle w:val="TableParagraph"/>
              <w:spacing w:line="263" w:lineRule="exact"/>
              <w:ind w:left="125" w:right="178"/>
              <w:jc w:val="center"/>
              <w:rPr>
                <w:sz w:val="24"/>
              </w:rPr>
            </w:pPr>
            <w:r>
              <w:rPr>
                <w:sz w:val="24"/>
              </w:rPr>
              <w:t>48.9</w:t>
            </w:r>
          </w:p>
        </w:tc>
        <w:tc>
          <w:tcPr>
            <w:tcW w:w="1169" w:type="dxa"/>
          </w:tcPr>
          <w:p>
            <w:pPr>
              <w:pStyle w:val="TableParagraph"/>
              <w:spacing w:before="7"/>
              <w:rPr>
                <w:b/>
                <w:sz w:val="23"/>
              </w:rPr>
            </w:pPr>
          </w:p>
          <w:p>
            <w:pPr>
              <w:pStyle w:val="TableParagraph"/>
              <w:spacing w:line="260" w:lineRule="exact"/>
              <w:ind w:left="89" w:right="148"/>
              <w:jc w:val="center"/>
              <w:rPr>
                <w:sz w:val="24"/>
              </w:rPr>
            </w:pPr>
            <w:r>
              <w:rPr>
                <w:sz w:val="24"/>
              </w:rPr>
              <w:t>- 116.79</w:t>
            </w:r>
          </w:p>
        </w:tc>
        <w:tc>
          <w:tcPr>
            <w:tcW w:w="759" w:type="dxa"/>
          </w:tcPr>
          <w:p>
            <w:pPr>
              <w:pStyle w:val="TableParagraph"/>
              <w:spacing w:before="4"/>
              <w:rPr>
                <w:b/>
                <w:sz w:val="23"/>
              </w:rPr>
            </w:pPr>
          </w:p>
          <w:p>
            <w:pPr>
              <w:pStyle w:val="TableParagraph"/>
              <w:spacing w:line="263" w:lineRule="exact"/>
              <w:ind w:left="91" w:right="83"/>
              <w:jc w:val="center"/>
              <w:rPr>
                <w:sz w:val="24"/>
              </w:rPr>
            </w:pPr>
            <w:r>
              <w:rPr>
                <w:sz w:val="24"/>
              </w:rPr>
              <w:t>5120</w:t>
            </w:r>
          </w:p>
        </w:tc>
      </w:tr>
      <w:tr>
        <w:trPr>
          <w:trHeight w:val="277" w:hRule="atLeast"/>
        </w:trPr>
        <w:tc>
          <w:tcPr>
            <w:tcW w:w="960" w:type="dxa"/>
          </w:tcPr>
          <w:p>
            <w:pPr>
              <w:pStyle w:val="TableParagraph"/>
              <w:rPr>
                <w:rFonts w:ascii="Times New Roman"/>
                <w:sz w:val="20"/>
              </w:rPr>
            </w:pPr>
          </w:p>
        </w:tc>
        <w:tc>
          <w:tcPr>
            <w:tcW w:w="2402" w:type="dxa"/>
          </w:tcPr>
          <w:p>
            <w:pPr>
              <w:pStyle w:val="TableParagraph"/>
              <w:rPr>
                <w:rFonts w:ascii="Times New Roman"/>
                <w:sz w:val="20"/>
              </w:rPr>
            </w:pPr>
          </w:p>
        </w:tc>
        <w:tc>
          <w:tcPr>
            <w:tcW w:w="777" w:type="dxa"/>
          </w:tcPr>
          <w:p>
            <w:pPr>
              <w:pStyle w:val="TableParagraph"/>
              <w:rPr>
                <w:rFonts w:ascii="Times New Roman"/>
                <w:sz w:val="20"/>
              </w:rPr>
            </w:pPr>
          </w:p>
        </w:tc>
        <w:tc>
          <w:tcPr>
            <w:tcW w:w="1269" w:type="dxa"/>
          </w:tcPr>
          <w:p>
            <w:pPr>
              <w:pStyle w:val="TableParagraph"/>
              <w:rPr>
                <w:rFonts w:ascii="Times New Roman"/>
                <w:sz w:val="20"/>
              </w:rPr>
            </w:pPr>
          </w:p>
        </w:tc>
        <w:tc>
          <w:tcPr>
            <w:tcW w:w="1135" w:type="dxa"/>
          </w:tcPr>
          <w:p>
            <w:pPr>
              <w:pStyle w:val="TableParagraph"/>
              <w:rPr>
                <w:rFonts w:ascii="Times New Roman"/>
                <w:sz w:val="20"/>
              </w:rPr>
            </w:pPr>
          </w:p>
        </w:tc>
        <w:tc>
          <w:tcPr>
            <w:tcW w:w="821" w:type="dxa"/>
          </w:tcPr>
          <w:p>
            <w:pPr>
              <w:pStyle w:val="TableParagraph"/>
              <w:rPr>
                <w:rFonts w:ascii="Times New Roman"/>
                <w:sz w:val="20"/>
              </w:rPr>
            </w:pPr>
          </w:p>
        </w:tc>
        <w:tc>
          <w:tcPr>
            <w:tcW w:w="1169" w:type="dxa"/>
          </w:tcPr>
          <w:p>
            <w:pPr>
              <w:pStyle w:val="TableParagraph"/>
              <w:rPr>
                <w:rFonts w:ascii="Times New Roman"/>
                <w:sz w:val="20"/>
              </w:rPr>
            </w:pPr>
          </w:p>
        </w:tc>
        <w:tc>
          <w:tcPr>
            <w:tcW w:w="759" w:type="dxa"/>
          </w:tcPr>
          <w:p>
            <w:pPr>
              <w:pStyle w:val="TableParagraph"/>
              <w:rPr>
                <w:rFonts w:ascii="Times New Roman"/>
                <w:sz w:val="20"/>
              </w:rPr>
            </w:pPr>
          </w:p>
        </w:tc>
      </w:tr>
    </w:tbl>
    <w:p>
      <w:pPr>
        <w:spacing w:after="0"/>
        <w:rPr>
          <w:rFonts w:ascii="Times New Roman"/>
          <w:sz w:val="20"/>
        </w:rPr>
        <w:sectPr>
          <w:pgSz w:w="12240" w:h="15840"/>
          <w:pgMar w:header="0" w:footer="968" w:top="1440" w:bottom="1160" w:left="340" w:right="620"/>
        </w:sectPr>
      </w:pPr>
    </w:p>
    <w:p>
      <w:pPr>
        <w:spacing w:before="57"/>
        <w:ind w:left="3236" w:right="143" w:firstLine="0"/>
        <w:jc w:val="left"/>
        <w:rPr>
          <w:b/>
          <w:sz w:val="44"/>
        </w:rPr>
      </w:pPr>
      <w:r>
        <w:rPr/>
        <w:drawing>
          <wp:anchor distT="0" distB="0" distL="0" distR="0" allowOverlap="1" layoutInCell="1" locked="0" behindDoc="0" simplePos="0" relativeHeight="1984">
            <wp:simplePos x="0" y="0"/>
            <wp:positionH relativeFrom="page">
              <wp:posOffset>914400</wp:posOffset>
            </wp:positionH>
            <wp:positionV relativeFrom="paragraph">
              <wp:posOffset>37029</wp:posOffset>
            </wp:positionV>
            <wp:extent cx="1265553" cy="1259837"/>
            <wp:effectExtent l="0" t="0" r="0" b="0"/>
            <wp:wrapNone/>
            <wp:docPr id="39" name="image1.png" descr=""/>
            <wp:cNvGraphicFramePr>
              <a:graphicFrameLocks noChangeAspect="1"/>
            </wp:cNvGraphicFramePr>
            <a:graphic>
              <a:graphicData uri="http://schemas.openxmlformats.org/drawingml/2006/picture">
                <pic:pic>
                  <pic:nvPicPr>
                    <pic:cNvPr id="40" name="image1.png"/>
                    <pic:cNvPicPr/>
                  </pic:nvPicPr>
                  <pic:blipFill>
                    <a:blip r:embed="rId5" cstate="print"/>
                    <a:stretch>
                      <a:fillRect/>
                    </a:stretch>
                  </pic:blipFill>
                  <pic:spPr>
                    <a:xfrm>
                      <a:off x="0" y="0"/>
                      <a:ext cx="1265553" cy="1259837"/>
                    </a:xfrm>
                    <a:prstGeom prst="rect">
                      <a:avLst/>
                    </a:prstGeom>
                  </pic:spPr>
                </pic:pic>
              </a:graphicData>
            </a:graphic>
          </wp:anchor>
        </w:drawing>
      </w:r>
      <w:bookmarkStart w:name="_bookmark18" w:id="128"/>
      <w:bookmarkEnd w:id="128"/>
      <w:r>
        <w:rPr/>
      </w:r>
      <w:r>
        <w:rPr>
          <w:b/>
          <w:sz w:val="44"/>
          <w:u w:val="thick"/>
        </w:rPr>
        <w:t>OREGON DEPARTMENT OF</w:t>
      </w:r>
      <w:r>
        <w:rPr>
          <w:b/>
          <w:sz w:val="44"/>
        </w:rPr>
        <w:t> </w:t>
      </w:r>
      <w:r>
        <w:rPr>
          <w:b/>
          <w:sz w:val="44"/>
          <w:u w:val="thick"/>
        </w:rPr>
        <w:t>FORESTRY WEATHER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24"/>
        <w:ind w:left="1100" w:right="0" w:firstLine="0"/>
        <w:jc w:val="left"/>
        <w:rPr>
          <w:b/>
          <w:sz w:val="32"/>
        </w:rPr>
      </w:pPr>
      <w:bookmarkStart w:name="HOURS OF OPERATION" w:id="129"/>
      <w:bookmarkEnd w:id="129"/>
      <w:r>
        <w:rPr/>
      </w:r>
      <w:r>
        <w:rPr>
          <w:b/>
          <w:sz w:val="32"/>
          <w:u w:val="thick"/>
        </w:rPr>
        <w:t>HOURS OF OPERATION</w:t>
      </w:r>
    </w:p>
    <w:p>
      <w:pPr>
        <w:pStyle w:val="BodyText"/>
        <w:tabs>
          <w:tab w:pos="2700" w:val="left" w:leader="none"/>
        </w:tabs>
        <w:spacing w:before="2"/>
        <w:ind w:left="1100" w:right="1056"/>
      </w:pPr>
      <w:r>
        <w:rPr/>
        <w:t>The Oregon Department of Forestry’s Salem Weather Center office hours vary depending upon fire and prescribed fire activity. The office is open from 0630 - 1700, five days a week between about November 25 - March 31 and July 1 - September 30. During the spring and fall burning periods, the office is staffed from 0630 - 1700, six days</w:t>
      </w:r>
      <w:r>
        <w:rPr>
          <w:spacing w:val="-4"/>
        </w:rPr>
        <w:t> </w:t>
      </w:r>
      <w:r>
        <w:rPr/>
        <w:t>a</w:t>
      </w:r>
      <w:r>
        <w:rPr>
          <w:spacing w:val="-1"/>
        </w:rPr>
        <w:t> </w:t>
      </w:r>
      <w:r>
        <w:rPr/>
        <w:t>week.</w:t>
        <w:tab/>
        <w:t>Exact</w:t>
      </w:r>
      <w:r>
        <w:rPr>
          <w:spacing w:val="-2"/>
        </w:rPr>
        <w:t> </w:t>
      </w:r>
      <w:r>
        <w:rPr/>
        <w:t>dates</w:t>
      </w:r>
      <w:r>
        <w:rPr>
          <w:spacing w:val="-5"/>
        </w:rPr>
        <w:t> </w:t>
      </w:r>
      <w:r>
        <w:rPr/>
        <w:t>of</w:t>
      </w:r>
      <w:r>
        <w:rPr>
          <w:spacing w:val="-2"/>
        </w:rPr>
        <w:t> </w:t>
      </w:r>
      <w:r>
        <w:rPr/>
        <w:t>five</w:t>
      </w:r>
      <w:r>
        <w:rPr>
          <w:spacing w:val="-2"/>
        </w:rPr>
        <w:t> </w:t>
      </w:r>
      <w:r>
        <w:rPr/>
        <w:t>and</w:t>
      </w:r>
      <w:r>
        <w:rPr>
          <w:spacing w:val="-4"/>
        </w:rPr>
        <w:t> </w:t>
      </w:r>
      <w:r>
        <w:rPr/>
        <w:t>six</w:t>
      </w:r>
      <w:r>
        <w:rPr>
          <w:spacing w:val="-5"/>
        </w:rPr>
        <w:t> </w:t>
      </w:r>
      <w:r>
        <w:rPr/>
        <w:t>day-a-week</w:t>
      </w:r>
      <w:r>
        <w:rPr>
          <w:spacing w:val="-3"/>
        </w:rPr>
        <w:t> </w:t>
      </w:r>
      <w:r>
        <w:rPr/>
        <w:t>service</w:t>
      </w:r>
      <w:r>
        <w:rPr>
          <w:spacing w:val="-2"/>
        </w:rPr>
        <w:t> </w:t>
      </w:r>
      <w:r>
        <w:rPr/>
        <w:t>vary</w:t>
      </w:r>
      <w:r>
        <w:rPr>
          <w:spacing w:val="-5"/>
        </w:rPr>
        <w:t> </w:t>
      </w:r>
      <w:r>
        <w:rPr/>
        <w:t>and</w:t>
      </w:r>
      <w:r>
        <w:rPr>
          <w:spacing w:val="-25"/>
        </w:rPr>
        <w:t> </w:t>
      </w:r>
      <w:r>
        <w:rPr/>
        <w:t>are</w:t>
      </w:r>
      <w:r>
        <w:rPr>
          <w:spacing w:val="-7"/>
        </w:rPr>
        <w:t> </w:t>
      </w:r>
      <w:r>
        <w:rPr/>
        <w:t>responsive to user needs for smoke management and other fire danger rating</w:t>
      </w:r>
      <w:r>
        <w:rPr>
          <w:spacing w:val="-54"/>
        </w:rPr>
        <w:t> </w:t>
      </w:r>
      <w:r>
        <w:rPr/>
        <w:t>services.</w:t>
      </w:r>
    </w:p>
    <w:p>
      <w:pPr>
        <w:pStyle w:val="BodyText"/>
        <w:spacing w:before="6"/>
        <w:rPr>
          <w:sz w:val="23"/>
        </w:rPr>
      </w:pPr>
    </w:p>
    <w:p>
      <w:pPr>
        <w:pStyle w:val="Heading5"/>
        <w:rPr>
          <w:u w:val="none"/>
        </w:rPr>
      </w:pPr>
      <w:bookmarkStart w:name="LOCATION" w:id="130"/>
      <w:bookmarkEnd w:id="130"/>
      <w:r>
        <w:rPr>
          <w:b w:val="0"/>
          <w:u w:val="none"/>
        </w:rPr>
      </w:r>
      <w:r>
        <w:rPr>
          <w:u w:val="thick"/>
        </w:rPr>
        <w:t>LOCATION</w:t>
      </w:r>
    </w:p>
    <w:p>
      <w:pPr>
        <w:pStyle w:val="BodyText"/>
        <w:spacing w:before="3"/>
        <w:ind w:left="1100" w:right="6825"/>
      </w:pPr>
      <w:r>
        <w:rPr/>
        <w:t>Oregon Department of Forestry 2600 State Street</w:t>
      </w:r>
    </w:p>
    <w:p>
      <w:pPr>
        <w:pStyle w:val="BodyText"/>
        <w:ind w:left="1100"/>
      </w:pPr>
      <w:r>
        <w:rPr/>
        <w:t>Salem, OR 97310</w:t>
      </w:r>
    </w:p>
    <w:p>
      <w:pPr>
        <w:pStyle w:val="BodyText"/>
        <w:spacing w:before="8"/>
        <w:rPr>
          <w:sz w:val="23"/>
        </w:rPr>
      </w:pPr>
    </w:p>
    <w:p>
      <w:pPr>
        <w:pStyle w:val="Heading5"/>
        <w:rPr>
          <w:u w:val="none"/>
        </w:rPr>
      </w:pPr>
      <w:bookmarkStart w:name="STAFF AND CONTACT" w:id="131"/>
      <w:bookmarkEnd w:id="131"/>
      <w:r>
        <w:rPr>
          <w:b w:val="0"/>
          <w:u w:val="none"/>
        </w:rPr>
      </w:r>
      <w:r>
        <w:rPr>
          <w:u w:val="thick"/>
        </w:rPr>
        <w:t>STAFF AND CONTACT</w:t>
      </w:r>
    </w:p>
    <w:p>
      <w:pPr>
        <w:pStyle w:val="BodyText"/>
        <w:tabs>
          <w:tab w:pos="3259" w:val="left" w:leader="none"/>
        </w:tabs>
        <w:spacing w:before="3"/>
        <w:ind w:left="1100"/>
      </w:pPr>
      <w:r>
        <w:rPr/>
        <w:t>Nick</w:t>
      </w:r>
      <w:r>
        <w:rPr>
          <w:spacing w:val="-4"/>
        </w:rPr>
        <w:t> </w:t>
      </w:r>
      <w:r>
        <w:rPr/>
        <w:t>Yonker</w:t>
        <w:tab/>
        <w:t>Meteorology</w:t>
      </w:r>
      <w:r>
        <w:rPr>
          <w:spacing w:val="-8"/>
        </w:rPr>
        <w:t> </w:t>
      </w:r>
      <w:r>
        <w:rPr/>
        <w:t>Manager</w:t>
      </w:r>
    </w:p>
    <w:p>
      <w:pPr>
        <w:pStyle w:val="BodyText"/>
        <w:ind w:left="3260" w:right="3173"/>
      </w:pPr>
      <w:hyperlink r:id="rId122">
        <w:r>
          <w:rPr>
            <w:color w:val="0462C1"/>
            <w:u w:val="single" w:color="0462C1"/>
          </w:rPr>
          <w:t>Nick.J.Yonker@oregon.gov</w:t>
        </w:r>
        <w:r>
          <w:rPr>
            <w:color w:val="0462C1"/>
          </w:rPr>
          <w:t> </w:t>
        </w:r>
      </w:hyperlink>
      <w:r>
        <w:rPr/>
        <w:t>Pete Parsons Meteorologist </w:t>
      </w:r>
      <w:hyperlink r:id="rId123">
        <w:r>
          <w:rPr>
            <w:color w:val="0462C1"/>
            <w:u w:val="single" w:color="0462C1"/>
          </w:rPr>
          <w:t>Peter.G.J.Parsons@oregon.gov</w:t>
        </w:r>
        <w:r>
          <w:rPr>
            <w:color w:val="0462C1"/>
          </w:rPr>
          <w:t> </w:t>
        </w:r>
      </w:hyperlink>
      <w:r>
        <w:rPr/>
        <w:t>Tom Jenkins Meteorologist</w:t>
      </w:r>
    </w:p>
    <w:p>
      <w:pPr>
        <w:pStyle w:val="BodyText"/>
        <w:tabs>
          <w:tab w:pos="3259" w:val="left" w:leader="none"/>
          <w:tab w:pos="8919" w:val="left" w:leader="none"/>
        </w:tabs>
        <w:spacing w:after="5"/>
        <w:ind w:left="1100" w:right="1947" w:firstLine="2160"/>
      </w:pPr>
      <w:hyperlink r:id="rId124">
        <w:r>
          <w:rPr>
            <w:color w:val="0462C1"/>
            <w:u w:val="single" w:color="0462C1"/>
          </w:rPr>
          <w:t>Thomas.S.Jenkins@oregon.gov</w:t>
        </w:r>
        <w:r>
          <w:rPr>
            <w:color w:val="0462C1"/>
            <w:spacing w:val="-16"/>
          </w:rPr>
          <w:t> </w:t>
        </w:r>
      </w:hyperlink>
      <w:r>
        <w:rPr/>
        <w:t>Teresa</w:t>
      </w:r>
      <w:r>
        <w:rPr>
          <w:spacing w:val="-12"/>
        </w:rPr>
        <w:t> </w:t>
      </w:r>
      <w:r>
        <w:rPr/>
        <w:t>Alcock</w:t>
        <w:tab/>
      </w:r>
      <w:r>
        <w:rPr>
          <w:spacing w:val="-1"/>
        </w:rPr>
        <w:t>Fire </w:t>
      </w:r>
      <w:r>
        <w:rPr/>
        <w:t>Program</w:t>
      </w:r>
      <w:r>
        <w:rPr>
          <w:spacing w:val="-2"/>
        </w:rPr>
        <w:t> </w:t>
      </w:r>
      <w:r>
        <w:rPr/>
        <w:t>Analyst</w:t>
        <w:tab/>
      </w:r>
      <w:hyperlink r:id="rId125">
        <w:r>
          <w:rPr>
            <w:color w:val="0462C1"/>
            <w:u w:val="single" w:color="0462C1"/>
          </w:rPr>
          <w:t>Teresa.Alcock@oregon.gov</w:t>
        </w:r>
      </w:hyperlink>
    </w:p>
    <w:tbl>
      <w:tblPr>
        <w:tblW w:w="0" w:type="auto"/>
        <w:jc w:val="left"/>
        <w:tblInd w:w="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62"/>
        <w:gridCol w:w="2508"/>
        <w:gridCol w:w="4190"/>
      </w:tblGrid>
      <w:tr>
        <w:trPr>
          <w:trHeight w:val="959" w:hRule="atLeast"/>
        </w:trPr>
        <w:tc>
          <w:tcPr>
            <w:tcW w:w="2162" w:type="dxa"/>
          </w:tcPr>
          <w:p>
            <w:pPr>
              <w:pStyle w:val="TableParagraph"/>
              <w:spacing w:line="268" w:lineRule="exact"/>
              <w:ind w:left="150"/>
              <w:rPr>
                <w:sz w:val="24"/>
              </w:rPr>
            </w:pPr>
            <w:r>
              <w:rPr>
                <w:sz w:val="24"/>
              </w:rPr>
              <w:t>Christina Clemons</w:t>
            </w:r>
          </w:p>
          <w:p>
            <w:pPr>
              <w:pStyle w:val="TableParagraph"/>
              <w:spacing w:before="2"/>
              <w:rPr>
                <w:sz w:val="24"/>
              </w:rPr>
            </w:pPr>
          </w:p>
          <w:p>
            <w:pPr>
              <w:pStyle w:val="TableParagraph"/>
              <w:ind w:left="150"/>
              <w:rPr>
                <w:sz w:val="24"/>
              </w:rPr>
            </w:pPr>
            <w:r>
              <w:rPr>
                <w:sz w:val="24"/>
              </w:rPr>
              <w:t>Telephone:</w:t>
            </w:r>
          </w:p>
        </w:tc>
        <w:tc>
          <w:tcPr>
            <w:tcW w:w="2508" w:type="dxa"/>
          </w:tcPr>
          <w:p>
            <w:pPr>
              <w:pStyle w:val="TableParagraph"/>
              <w:spacing w:line="268" w:lineRule="exact"/>
              <w:ind w:left="146"/>
              <w:rPr>
                <w:sz w:val="24"/>
              </w:rPr>
            </w:pPr>
            <w:r>
              <w:rPr>
                <w:sz w:val="24"/>
              </w:rPr>
              <w:t>Field Coordinator</w:t>
            </w:r>
          </w:p>
        </w:tc>
        <w:tc>
          <w:tcPr>
            <w:tcW w:w="4190" w:type="dxa"/>
          </w:tcPr>
          <w:p>
            <w:pPr>
              <w:pStyle w:val="TableParagraph"/>
              <w:spacing w:line="268" w:lineRule="exact"/>
              <w:ind w:left="520"/>
              <w:rPr>
                <w:sz w:val="24"/>
              </w:rPr>
            </w:pPr>
            <w:hyperlink r:id="rId126">
              <w:r>
                <w:rPr>
                  <w:color w:val="0462C1"/>
                  <w:sz w:val="24"/>
                  <w:u w:val="single" w:color="0462C1"/>
                </w:rPr>
                <w:t>Christina.T.Clemons@oregon.gov</w:t>
              </w:r>
            </w:hyperlink>
          </w:p>
        </w:tc>
      </w:tr>
      <w:tr>
        <w:trPr>
          <w:trHeight w:val="409" w:hRule="atLeast"/>
        </w:trPr>
        <w:tc>
          <w:tcPr>
            <w:tcW w:w="2162" w:type="dxa"/>
          </w:tcPr>
          <w:p>
            <w:pPr>
              <w:pStyle w:val="TableParagraph"/>
              <w:spacing w:line="260" w:lineRule="exact" w:before="129"/>
              <w:ind w:left="50"/>
              <w:rPr>
                <w:sz w:val="24"/>
              </w:rPr>
            </w:pPr>
            <w:r>
              <w:rPr>
                <w:sz w:val="24"/>
              </w:rPr>
              <w:t>Nick Yonker:</w:t>
            </w:r>
          </w:p>
        </w:tc>
        <w:tc>
          <w:tcPr>
            <w:tcW w:w="2508" w:type="dxa"/>
          </w:tcPr>
          <w:p>
            <w:pPr>
              <w:pStyle w:val="TableParagraph"/>
              <w:spacing w:line="260" w:lineRule="exact" w:before="129"/>
              <w:ind w:left="47"/>
              <w:rPr>
                <w:sz w:val="24"/>
              </w:rPr>
            </w:pPr>
            <w:r>
              <w:rPr>
                <w:sz w:val="24"/>
              </w:rPr>
              <w:t>503-945-7451</w:t>
            </w:r>
          </w:p>
        </w:tc>
        <w:tc>
          <w:tcPr>
            <w:tcW w:w="4190" w:type="dxa"/>
          </w:tcPr>
          <w:p>
            <w:pPr>
              <w:pStyle w:val="TableParagraph"/>
              <w:rPr>
                <w:rFonts w:ascii="Times New Roman"/>
                <w:sz w:val="24"/>
              </w:rPr>
            </w:pPr>
          </w:p>
        </w:tc>
      </w:tr>
      <w:tr>
        <w:trPr>
          <w:trHeight w:val="276" w:hRule="atLeast"/>
        </w:trPr>
        <w:tc>
          <w:tcPr>
            <w:tcW w:w="2162" w:type="dxa"/>
          </w:tcPr>
          <w:p>
            <w:pPr>
              <w:pStyle w:val="TableParagraph"/>
              <w:spacing w:line="256" w:lineRule="exact"/>
              <w:ind w:left="50"/>
              <w:rPr>
                <w:sz w:val="24"/>
              </w:rPr>
            </w:pPr>
            <w:r>
              <w:rPr>
                <w:sz w:val="24"/>
              </w:rPr>
              <w:t>Pete Parsons:</w:t>
            </w:r>
          </w:p>
        </w:tc>
        <w:tc>
          <w:tcPr>
            <w:tcW w:w="2508" w:type="dxa"/>
          </w:tcPr>
          <w:p>
            <w:pPr>
              <w:pStyle w:val="TableParagraph"/>
              <w:spacing w:line="256" w:lineRule="exact"/>
              <w:ind w:left="47"/>
              <w:rPr>
                <w:sz w:val="24"/>
              </w:rPr>
            </w:pPr>
            <w:r>
              <w:rPr>
                <w:sz w:val="24"/>
              </w:rPr>
              <w:t>503-945-7448</w:t>
            </w:r>
          </w:p>
        </w:tc>
        <w:tc>
          <w:tcPr>
            <w:tcW w:w="4190" w:type="dxa"/>
          </w:tcPr>
          <w:p>
            <w:pPr>
              <w:pStyle w:val="TableParagraph"/>
              <w:rPr>
                <w:rFonts w:ascii="Times New Roman"/>
                <w:sz w:val="20"/>
              </w:rPr>
            </w:pPr>
          </w:p>
        </w:tc>
      </w:tr>
      <w:tr>
        <w:trPr>
          <w:trHeight w:val="275" w:hRule="atLeast"/>
        </w:trPr>
        <w:tc>
          <w:tcPr>
            <w:tcW w:w="2162" w:type="dxa"/>
          </w:tcPr>
          <w:p>
            <w:pPr>
              <w:pStyle w:val="TableParagraph"/>
              <w:spacing w:line="256" w:lineRule="exact"/>
              <w:ind w:left="50"/>
              <w:rPr>
                <w:sz w:val="24"/>
              </w:rPr>
            </w:pPr>
            <w:r>
              <w:rPr>
                <w:sz w:val="24"/>
              </w:rPr>
              <w:t>Tom Jenkins:</w:t>
            </w:r>
          </w:p>
        </w:tc>
        <w:tc>
          <w:tcPr>
            <w:tcW w:w="2508" w:type="dxa"/>
          </w:tcPr>
          <w:p>
            <w:pPr>
              <w:pStyle w:val="TableParagraph"/>
              <w:spacing w:line="256" w:lineRule="exact"/>
              <w:ind w:left="47"/>
              <w:rPr>
                <w:sz w:val="24"/>
              </w:rPr>
            </w:pPr>
            <w:r>
              <w:rPr>
                <w:sz w:val="24"/>
              </w:rPr>
              <w:t>503-945-7452</w:t>
            </w:r>
          </w:p>
        </w:tc>
        <w:tc>
          <w:tcPr>
            <w:tcW w:w="4190" w:type="dxa"/>
          </w:tcPr>
          <w:p>
            <w:pPr>
              <w:pStyle w:val="TableParagraph"/>
              <w:rPr>
                <w:rFonts w:ascii="Times New Roman"/>
                <w:sz w:val="20"/>
              </w:rPr>
            </w:pPr>
          </w:p>
        </w:tc>
      </w:tr>
      <w:tr>
        <w:trPr>
          <w:trHeight w:val="276" w:hRule="atLeast"/>
        </w:trPr>
        <w:tc>
          <w:tcPr>
            <w:tcW w:w="2162" w:type="dxa"/>
          </w:tcPr>
          <w:p>
            <w:pPr>
              <w:pStyle w:val="TableParagraph"/>
              <w:spacing w:line="256" w:lineRule="exact"/>
              <w:ind w:left="50"/>
              <w:rPr>
                <w:sz w:val="24"/>
              </w:rPr>
            </w:pPr>
            <w:r>
              <w:rPr>
                <w:sz w:val="24"/>
              </w:rPr>
              <w:t>Teresa Alcock:</w:t>
            </w:r>
          </w:p>
        </w:tc>
        <w:tc>
          <w:tcPr>
            <w:tcW w:w="2508" w:type="dxa"/>
          </w:tcPr>
          <w:p>
            <w:pPr>
              <w:pStyle w:val="TableParagraph"/>
              <w:spacing w:line="256" w:lineRule="exact"/>
              <w:ind w:left="47"/>
              <w:rPr>
                <w:sz w:val="24"/>
              </w:rPr>
            </w:pPr>
            <w:r>
              <w:rPr>
                <w:sz w:val="24"/>
              </w:rPr>
              <w:t>503-945-7226</w:t>
            </w:r>
          </w:p>
        </w:tc>
        <w:tc>
          <w:tcPr>
            <w:tcW w:w="4190" w:type="dxa"/>
          </w:tcPr>
          <w:p>
            <w:pPr>
              <w:pStyle w:val="TableParagraph"/>
              <w:rPr>
                <w:rFonts w:ascii="Times New Roman"/>
                <w:sz w:val="20"/>
              </w:rPr>
            </w:pPr>
          </w:p>
        </w:tc>
      </w:tr>
      <w:tr>
        <w:trPr>
          <w:trHeight w:val="276" w:hRule="atLeast"/>
        </w:trPr>
        <w:tc>
          <w:tcPr>
            <w:tcW w:w="2162" w:type="dxa"/>
          </w:tcPr>
          <w:p>
            <w:pPr>
              <w:pStyle w:val="TableParagraph"/>
              <w:spacing w:line="256" w:lineRule="exact"/>
              <w:ind w:left="50"/>
              <w:rPr>
                <w:sz w:val="24"/>
              </w:rPr>
            </w:pPr>
            <w:r>
              <w:rPr>
                <w:sz w:val="24"/>
              </w:rPr>
              <w:t>Christina Clemons:</w:t>
            </w:r>
          </w:p>
        </w:tc>
        <w:tc>
          <w:tcPr>
            <w:tcW w:w="2508" w:type="dxa"/>
          </w:tcPr>
          <w:p>
            <w:pPr>
              <w:pStyle w:val="TableParagraph"/>
              <w:spacing w:line="256" w:lineRule="exact"/>
              <w:ind w:left="48"/>
              <w:rPr>
                <w:sz w:val="24"/>
              </w:rPr>
            </w:pPr>
            <w:r>
              <w:rPr>
                <w:sz w:val="24"/>
              </w:rPr>
              <w:t>503-945-7443</w:t>
            </w:r>
          </w:p>
        </w:tc>
        <w:tc>
          <w:tcPr>
            <w:tcW w:w="4190" w:type="dxa"/>
          </w:tcPr>
          <w:p>
            <w:pPr>
              <w:pStyle w:val="TableParagraph"/>
              <w:rPr>
                <w:rFonts w:ascii="Times New Roman"/>
                <w:sz w:val="20"/>
              </w:rPr>
            </w:pPr>
          </w:p>
        </w:tc>
      </w:tr>
      <w:tr>
        <w:trPr>
          <w:trHeight w:val="275" w:hRule="atLeast"/>
        </w:trPr>
        <w:tc>
          <w:tcPr>
            <w:tcW w:w="2162" w:type="dxa"/>
          </w:tcPr>
          <w:p>
            <w:pPr>
              <w:pStyle w:val="TableParagraph"/>
              <w:spacing w:line="256" w:lineRule="exact"/>
              <w:ind w:left="50"/>
              <w:rPr>
                <w:sz w:val="24"/>
              </w:rPr>
            </w:pPr>
            <w:r>
              <w:rPr>
                <w:sz w:val="24"/>
              </w:rPr>
              <w:t>Forecast Desk:</w:t>
            </w:r>
          </w:p>
        </w:tc>
        <w:tc>
          <w:tcPr>
            <w:tcW w:w="2508" w:type="dxa"/>
          </w:tcPr>
          <w:p>
            <w:pPr>
              <w:pStyle w:val="TableParagraph"/>
              <w:spacing w:line="256" w:lineRule="exact"/>
              <w:ind w:left="47"/>
              <w:rPr>
                <w:sz w:val="24"/>
              </w:rPr>
            </w:pPr>
            <w:r>
              <w:rPr>
                <w:sz w:val="24"/>
              </w:rPr>
              <w:t>503-945-7401</w:t>
            </w:r>
          </w:p>
        </w:tc>
        <w:tc>
          <w:tcPr>
            <w:tcW w:w="4190" w:type="dxa"/>
          </w:tcPr>
          <w:p>
            <w:pPr>
              <w:pStyle w:val="TableParagraph"/>
              <w:rPr>
                <w:rFonts w:ascii="Times New Roman"/>
                <w:sz w:val="20"/>
              </w:rPr>
            </w:pPr>
          </w:p>
        </w:tc>
      </w:tr>
      <w:tr>
        <w:trPr>
          <w:trHeight w:val="272" w:hRule="atLeast"/>
        </w:trPr>
        <w:tc>
          <w:tcPr>
            <w:tcW w:w="2162" w:type="dxa"/>
          </w:tcPr>
          <w:p>
            <w:pPr>
              <w:pStyle w:val="TableParagraph"/>
              <w:spacing w:line="252" w:lineRule="exact"/>
              <w:ind w:left="50"/>
              <w:rPr>
                <w:sz w:val="24"/>
              </w:rPr>
            </w:pPr>
            <w:r>
              <w:rPr>
                <w:sz w:val="24"/>
              </w:rPr>
              <w:t>Fax:</w:t>
            </w:r>
          </w:p>
        </w:tc>
        <w:tc>
          <w:tcPr>
            <w:tcW w:w="2508" w:type="dxa"/>
          </w:tcPr>
          <w:p>
            <w:pPr>
              <w:pStyle w:val="TableParagraph"/>
              <w:spacing w:line="252" w:lineRule="exact"/>
              <w:ind w:left="47"/>
              <w:rPr>
                <w:sz w:val="24"/>
              </w:rPr>
            </w:pPr>
            <w:r>
              <w:rPr>
                <w:sz w:val="24"/>
              </w:rPr>
              <w:t>503-945-7454</w:t>
            </w:r>
          </w:p>
        </w:tc>
        <w:tc>
          <w:tcPr>
            <w:tcW w:w="4190" w:type="dxa"/>
          </w:tcPr>
          <w:p>
            <w:pPr>
              <w:pStyle w:val="TableParagraph"/>
              <w:rPr>
                <w:rFonts w:ascii="Times New Roman"/>
                <w:sz w:val="20"/>
              </w:rPr>
            </w:pPr>
          </w:p>
        </w:tc>
      </w:tr>
    </w:tbl>
    <w:p>
      <w:pPr>
        <w:pStyle w:val="BodyText"/>
        <w:rPr>
          <w:sz w:val="26"/>
        </w:rPr>
      </w:pPr>
    </w:p>
    <w:p>
      <w:pPr>
        <w:pStyle w:val="BodyText"/>
        <w:spacing w:before="1"/>
        <w:rPr>
          <w:sz w:val="30"/>
        </w:rPr>
      </w:pPr>
    </w:p>
    <w:p>
      <w:pPr>
        <w:pStyle w:val="BodyText"/>
        <w:ind w:left="1100"/>
      </w:pPr>
      <w:r>
        <w:rPr/>
        <w:t>Internet: </w:t>
      </w:r>
      <w:hyperlink r:id="rId127">
        <w:r>
          <w:rPr/>
          <w:t>http://www.oregon.gov/ODF/Fire/Pages/Burn.aspx</w:t>
        </w:r>
      </w:hyperlink>
    </w:p>
    <w:p>
      <w:pPr>
        <w:pStyle w:val="BodyText"/>
        <w:spacing w:before="9"/>
        <w:rPr>
          <w:sz w:val="23"/>
        </w:rPr>
      </w:pPr>
    </w:p>
    <w:p>
      <w:pPr>
        <w:pStyle w:val="Heading5"/>
        <w:rPr>
          <w:u w:val="none"/>
        </w:rPr>
      </w:pPr>
      <w:bookmarkStart w:name="FORECAST AREA" w:id="132"/>
      <w:bookmarkEnd w:id="132"/>
      <w:r>
        <w:rPr>
          <w:b w:val="0"/>
          <w:u w:val="none"/>
        </w:rPr>
      </w:r>
      <w:r>
        <w:rPr>
          <w:u w:val="thick"/>
        </w:rPr>
        <w:t>FORECAST AREA</w:t>
      </w:r>
    </w:p>
    <w:p>
      <w:pPr>
        <w:spacing w:after="0"/>
        <w:sectPr>
          <w:footerReference w:type="default" r:id="rId121"/>
          <w:pgSz w:w="12240" w:h="15840"/>
          <w:pgMar w:footer="968" w:header="0" w:top="1380" w:bottom="1160" w:left="340" w:right="620"/>
          <w:pgNumType w:start="79"/>
        </w:sectPr>
      </w:pPr>
    </w:p>
    <w:p>
      <w:pPr>
        <w:pStyle w:val="BodyText"/>
        <w:spacing w:before="75"/>
        <w:ind w:left="1100" w:right="907"/>
      </w:pPr>
      <w:r>
        <w:rPr/>
        <w:t>The ODF Salem Weather Center provides services statewide, supporting prescribed burning/smoke management activities on nearly all private, state, county and federal forestland in Oregon. The fire weather zones that are serviced are described below in</w:t>
      </w:r>
    </w:p>
    <w:p>
      <w:pPr>
        <w:spacing w:after="0"/>
        <w:sectPr>
          <w:footerReference w:type="default" r:id="rId128"/>
          <w:pgSz w:w="12240" w:h="15840"/>
          <w:pgMar w:footer="1048" w:header="0" w:top="1300" w:bottom="1240" w:left="340" w:right="620"/>
        </w:sectPr>
      </w:pPr>
    </w:p>
    <w:p>
      <w:pPr>
        <w:pStyle w:val="BodyText"/>
        <w:spacing w:line="237" w:lineRule="auto" w:before="78"/>
        <w:ind w:left="1100" w:right="1088"/>
      </w:pPr>
      <w:r>
        <w:rPr/>
        <w:t>this operating plan. The Center also provides fire danger, fire severity and specialized weather (e.g. heavy rain, snow, wind, etc.) support to all ODF districts.</w:t>
      </w:r>
    </w:p>
    <w:p>
      <w:pPr>
        <w:pStyle w:val="BodyText"/>
      </w:pPr>
    </w:p>
    <w:p>
      <w:pPr>
        <w:pStyle w:val="BodyText"/>
        <w:spacing w:before="1"/>
        <w:ind w:left="1100" w:right="875"/>
      </w:pPr>
      <w:r>
        <w:rPr>
          <w:u w:val="single"/>
        </w:rPr>
        <w:t>Note that prescribed burning on all forestland in Oregon comes under the jurisdiction of</w:t>
      </w:r>
      <w:r>
        <w:rPr/>
        <w:t> </w:t>
      </w:r>
      <w:r>
        <w:rPr>
          <w:u w:val="single"/>
        </w:rPr>
        <w:t>ODF Smoke Management Plan.</w:t>
      </w:r>
      <w:r>
        <w:rPr/>
        <w:t> Prescribed burning must follow the requirements of the Smoke Management Plan, regardless of the party or agency that is responsible for the ownership or management of the land. Forecasts and service provided by the National Weather Service should only be used for fire management purposes and not for smoke management approval.</w:t>
      </w:r>
    </w:p>
    <w:p>
      <w:pPr>
        <w:pStyle w:val="BodyText"/>
        <w:spacing w:before="6"/>
        <w:rPr>
          <w:sz w:val="23"/>
        </w:rPr>
      </w:pPr>
    </w:p>
    <w:p>
      <w:pPr>
        <w:pStyle w:val="Heading5"/>
        <w:rPr>
          <w:u w:val="none"/>
        </w:rPr>
      </w:pPr>
      <w:bookmarkStart w:name="AGENCIES SERVED" w:id="133"/>
      <w:bookmarkEnd w:id="133"/>
      <w:r>
        <w:rPr>
          <w:b w:val="0"/>
          <w:u w:val="none"/>
        </w:rPr>
      </w:r>
      <w:r>
        <w:rPr>
          <w:u w:val="thick"/>
        </w:rPr>
        <w:t>AGENCIES SERVED</w:t>
      </w:r>
    </w:p>
    <w:p>
      <w:pPr>
        <w:pStyle w:val="BodyText"/>
        <w:spacing w:before="4"/>
        <w:ind w:left="1100" w:right="6092"/>
      </w:pPr>
      <w:r>
        <w:rPr/>
        <w:t>Oregon Department of Forestry (ODF) Private forest land owners</w:t>
      </w:r>
    </w:p>
    <w:p>
      <w:pPr>
        <w:pStyle w:val="BodyText"/>
        <w:spacing w:before="1"/>
        <w:ind w:left="1100"/>
      </w:pPr>
      <w:r>
        <w:rPr/>
        <w:t>U.S. Bureau of Land Management (BLM)</w:t>
      </w:r>
    </w:p>
    <w:p>
      <w:pPr>
        <w:pStyle w:val="BodyText"/>
        <w:ind w:left="1100"/>
      </w:pPr>
      <w:r>
        <w:rPr/>
        <w:t>U.S. Forest Service (USFS)</w:t>
      </w:r>
    </w:p>
    <w:p>
      <w:pPr>
        <w:pStyle w:val="BodyText"/>
        <w:ind w:left="1100"/>
      </w:pPr>
      <w:r>
        <w:rPr/>
        <w:t>U.S. National Park Service (NPS)</w:t>
      </w:r>
    </w:p>
    <w:p>
      <w:pPr>
        <w:pStyle w:val="BodyText"/>
        <w:spacing w:line="237" w:lineRule="auto" w:before="2"/>
        <w:ind w:left="1100" w:right="5905"/>
      </w:pPr>
      <w:r>
        <w:rPr/>
        <w:t>U.S. Fish and Wildlife Service (USFWS) Bureau of Indian Affairs (BIA)</w:t>
      </w:r>
    </w:p>
    <w:p>
      <w:pPr>
        <w:pStyle w:val="BodyText"/>
        <w:spacing w:before="9"/>
        <w:rPr>
          <w:sz w:val="23"/>
        </w:rPr>
      </w:pPr>
    </w:p>
    <w:p>
      <w:pPr>
        <w:pStyle w:val="Heading5"/>
        <w:rPr>
          <w:u w:val="none"/>
        </w:rPr>
      </w:pPr>
      <w:bookmarkStart w:name="FORECAST SERVICES" w:id="134"/>
      <w:bookmarkEnd w:id="134"/>
      <w:r>
        <w:rPr>
          <w:b w:val="0"/>
          <w:u w:val="none"/>
        </w:rPr>
      </w:r>
      <w:r>
        <w:rPr>
          <w:u w:val="thick"/>
        </w:rPr>
        <w:t>FORECAST SERVICES</w:t>
      </w:r>
    </w:p>
    <w:p>
      <w:pPr>
        <w:pStyle w:val="BodyText"/>
        <w:rPr>
          <w:b/>
          <w:sz w:val="16"/>
        </w:rPr>
      </w:pPr>
    </w:p>
    <w:p>
      <w:pPr>
        <w:pStyle w:val="Heading8"/>
        <w:spacing w:before="92"/>
      </w:pPr>
      <w:bookmarkStart w:name="General Forecasts:" w:id="135"/>
      <w:bookmarkEnd w:id="135"/>
      <w:r>
        <w:rPr>
          <w:b w:val="0"/>
        </w:rPr>
      </w:r>
      <w:r>
        <w:rPr/>
        <w:t>General Forecasts:</w:t>
      </w:r>
    </w:p>
    <w:p>
      <w:pPr>
        <w:pStyle w:val="BodyText"/>
        <w:spacing w:line="244" w:lineRule="auto"/>
        <w:ind w:left="1100" w:right="942"/>
      </w:pPr>
      <w:r>
        <w:rPr>
          <w:i/>
        </w:rPr>
        <w:t>Fire Season</w:t>
      </w:r>
      <w:r>
        <w:rPr/>
        <w:t>: ODF meteorologists provide smoke forecasts during major wildfire events statewide on a case-by-case basis. Wildfire smoke forecasts are issued as needed.</w:t>
      </w:r>
    </w:p>
    <w:p>
      <w:pPr>
        <w:pStyle w:val="BodyText"/>
        <w:ind w:left="1100" w:right="928"/>
      </w:pPr>
      <w:r>
        <w:rPr/>
        <w:t>Special fire severity statements are issued on an as needed basis. ODF contracts with the Oregon Department of Agriculture to provide field burning forecasts from July through September in the north Willamette Valley, Jefferson County and Union County.</w:t>
      </w:r>
    </w:p>
    <w:p>
      <w:pPr>
        <w:pStyle w:val="BodyText"/>
        <w:spacing w:before="3"/>
        <w:rPr>
          <w:sz w:val="23"/>
        </w:rPr>
      </w:pPr>
    </w:p>
    <w:p>
      <w:pPr>
        <w:pStyle w:val="BodyText"/>
        <w:ind w:left="1099" w:right="1049"/>
      </w:pPr>
      <w:r>
        <w:rPr>
          <w:i/>
        </w:rPr>
        <w:t>Prescribed Burning Season (which may overlap fire season)</w:t>
      </w:r>
      <w:r>
        <w:rPr/>
        <w:t>: Smoke management forecasts and prescribed burning instructions and advisories are issued daily by 1500. Updated forecasts are released on an as needed basis, normally by 0800. Forecasts and burning instructions provide detailed information on a zone by zone basis.</w:t>
      </w:r>
    </w:p>
    <w:p>
      <w:pPr>
        <w:pStyle w:val="BodyText"/>
        <w:spacing w:before="3"/>
        <w:ind w:left="1099" w:right="1049"/>
      </w:pPr>
      <w:r>
        <w:rPr/>
        <w:t>Forecasts describe the expected weather in detail for the next day and provide two to four day outlooks in more general terms. Three separate forecasts are issued daily for different areas of the state:</w:t>
      </w:r>
    </w:p>
    <w:p>
      <w:pPr>
        <w:pStyle w:val="BodyText"/>
      </w:pPr>
    </w:p>
    <w:p>
      <w:pPr>
        <w:pStyle w:val="ListParagraph"/>
        <w:numPr>
          <w:ilvl w:val="0"/>
          <w:numId w:val="19"/>
        </w:numPr>
        <w:tabs>
          <w:tab w:pos="2180" w:val="left" w:leader="none"/>
        </w:tabs>
        <w:spacing w:line="240" w:lineRule="auto" w:before="0" w:after="0"/>
        <w:ind w:left="2180" w:right="0" w:hanging="360"/>
        <w:jc w:val="left"/>
        <w:rPr>
          <w:sz w:val="24"/>
        </w:rPr>
      </w:pPr>
      <w:r>
        <w:rPr>
          <w:sz w:val="24"/>
        </w:rPr>
        <w:t>Western Oregon and the Deschutes National Forest (Zones 601-623,</w:t>
      </w:r>
      <w:r>
        <w:rPr>
          <w:spacing w:val="-34"/>
          <w:sz w:val="24"/>
        </w:rPr>
        <w:t> </w:t>
      </w:r>
      <w:r>
        <w:rPr>
          <w:sz w:val="24"/>
        </w:rPr>
        <w:t>639)</w:t>
      </w:r>
    </w:p>
    <w:p>
      <w:pPr>
        <w:pStyle w:val="ListParagraph"/>
        <w:numPr>
          <w:ilvl w:val="0"/>
          <w:numId w:val="19"/>
        </w:numPr>
        <w:tabs>
          <w:tab w:pos="2180" w:val="left" w:leader="none"/>
        </w:tabs>
        <w:spacing w:line="240" w:lineRule="auto" w:before="0" w:after="0"/>
        <w:ind w:left="2180" w:right="0" w:hanging="360"/>
        <w:jc w:val="left"/>
        <w:rPr>
          <w:sz w:val="24"/>
        </w:rPr>
      </w:pPr>
      <w:r>
        <w:rPr>
          <w:sz w:val="24"/>
        </w:rPr>
        <w:t>Northeast Oregon (Zones</w:t>
      </w:r>
      <w:r>
        <w:rPr>
          <w:spacing w:val="-12"/>
          <w:sz w:val="24"/>
        </w:rPr>
        <w:t> </w:t>
      </w:r>
      <w:r>
        <w:rPr>
          <w:sz w:val="24"/>
        </w:rPr>
        <w:t>640-646)</w:t>
      </w:r>
    </w:p>
    <w:p>
      <w:pPr>
        <w:pStyle w:val="ListParagraph"/>
        <w:numPr>
          <w:ilvl w:val="0"/>
          <w:numId w:val="19"/>
        </w:numPr>
        <w:tabs>
          <w:tab w:pos="2180" w:val="left" w:leader="none"/>
        </w:tabs>
        <w:spacing w:line="240" w:lineRule="auto" w:before="2" w:after="0"/>
        <w:ind w:left="2180" w:right="0" w:hanging="360"/>
        <w:jc w:val="left"/>
        <w:rPr>
          <w:sz w:val="24"/>
        </w:rPr>
      </w:pPr>
      <w:r>
        <w:rPr>
          <w:sz w:val="24"/>
        </w:rPr>
        <w:t>South-Central Oregon (Zones 624 and</w:t>
      </w:r>
      <w:r>
        <w:rPr>
          <w:spacing w:val="-20"/>
          <w:sz w:val="24"/>
        </w:rPr>
        <w:t> </w:t>
      </w:r>
      <w:r>
        <w:rPr>
          <w:sz w:val="24"/>
        </w:rPr>
        <w:t>625)</w:t>
      </w:r>
    </w:p>
    <w:p>
      <w:pPr>
        <w:pStyle w:val="BodyText"/>
        <w:spacing w:before="7"/>
        <w:rPr>
          <w:sz w:val="23"/>
        </w:rPr>
      </w:pPr>
    </w:p>
    <w:p>
      <w:pPr>
        <w:pStyle w:val="BodyText"/>
        <w:ind w:left="1100" w:right="927"/>
      </w:pPr>
      <w:r>
        <w:rPr>
          <w:i/>
        </w:rPr>
        <w:t>Open Burning Season: </w:t>
      </w:r>
      <w:r>
        <w:rPr/>
        <w:t>Open burning forecasts in support of the Oregon Department of Environmental Quality’s open burning program for the Willamette Valley north of Lane County are issued by 0730 year-round.</w:t>
      </w:r>
    </w:p>
    <w:p>
      <w:pPr>
        <w:pStyle w:val="BodyText"/>
        <w:spacing w:before="7"/>
        <w:rPr>
          <w:sz w:val="23"/>
        </w:rPr>
      </w:pPr>
    </w:p>
    <w:p>
      <w:pPr>
        <w:pStyle w:val="BodyText"/>
        <w:spacing w:line="244" w:lineRule="auto"/>
        <w:ind w:left="1099" w:right="1223"/>
      </w:pPr>
      <w:r>
        <w:rPr>
          <w:i/>
        </w:rPr>
        <w:t>Off-season</w:t>
      </w:r>
      <w:r>
        <w:rPr/>
        <w:t>: Forecasters issue forecasts or special weather statements as needed in support of special prescribed burning requests and safety of agency personnel.</w:t>
      </w:r>
    </w:p>
    <w:p>
      <w:pPr>
        <w:spacing w:after="0" w:line="244" w:lineRule="auto"/>
        <w:sectPr>
          <w:pgSz w:w="12240" w:h="15840"/>
          <w:pgMar w:header="0" w:footer="1048" w:top="1360" w:bottom="1240" w:left="340" w:right="620"/>
        </w:sectPr>
      </w:pPr>
    </w:p>
    <w:p>
      <w:pPr>
        <w:pStyle w:val="BodyText"/>
        <w:rPr>
          <w:sz w:val="20"/>
        </w:rPr>
      </w:pPr>
    </w:p>
    <w:p>
      <w:pPr>
        <w:pStyle w:val="BodyText"/>
        <w:spacing w:before="2"/>
        <w:rPr>
          <w:sz w:val="22"/>
        </w:rPr>
      </w:pPr>
    </w:p>
    <w:p>
      <w:pPr>
        <w:pStyle w:val="BodyText"/>
        <w:ind w:left="1100" w:right="875"/>
      </w:pPr>
      <w:r>
        <w:rPr>
          <w:b/>
        </w:rPr>
        <w:t>Smoke management spot forecasts: </w:t>
      </w:r>
      <w:r>
        <w:rPr/>
        <w:t>Detailed weather information beyond what is presented in the general smoke management forecast may be obtained with a spot forecast request. Smoke management spot forecasts are normally handled through oral briefings by contacting the duty forecaster at the forecast desk phone number shown above.</w:t>
      </w:r>
    </w:p>
    <w:p>
      <w:pPr>
        <w:pStyle w:val="BodyText"/>
      </w:pPr>
    </w:p>
    <w:p>
      <w:pPr>
        <w:pStyle w:val="BodyText"/>
        <w:ind w:left="1100" w:right="1128"/>
      </w:pPr>
      <w:r>
        <w:rPr>
          <w:b/>
        </w:rPr>
        <w:t>Telephone briefings: </w:t>
      </w:r>
      <w:r>
        <w:rPr/>
        <w:t>Telephone briefings may be provided by the ODF duty forecaster. These verbal weather briefings may be obtained at any time by calling the forecaster desk phone number shown above.</w:t>
      </w:r>
    </w:p>
    <w:p>
      <w:pPr>
        <w:pStyle w:val="BodyText"/>
        <w:spacing w:before="6"/>
        <w:rPr>
          <w:sz w:val="28"/>
        </w:rPr>
      </w:pPr>
    </w:p>
    <w:p>
      <w:pPr>
        <w:pStyle w:val="Heading5"/>
        <w:rPr>
          <w:u w:val="none"/>
        </w:rPr>
      </w:pPr>
      <w:bookmarkStart w:name="NON-FORECAST SERVICES" w:id="136"/>
      <w:bookmarkEnd w:id="136"/>
      <w:r>
        <w:rPr>
          <w:b w:val="0"/>
          <w:u w:val="none"/>
        </w:rPr>
      </w:r>
      <w:r>
        <w:rPr>
          <w:u w:val="thick"/>
        </w:rPr>
        <w:t>NON-FORECAST SERVICES</w:t>
      </w:r>
    </w:p>
    <w:p>
      <w:pPr>
        <w:spacing w:line="237" w:lineRule="auto" w:before="7"/>
        <w:ind w:left="1100" w:right="810" w:firstLine="0"/>
        <w:jc w:val="left"/>
        <w:rPr>
          <w:sz w:val="24"/>
        </w:rPr>
      </w:pPr>
      <w:r>
        <w:rPr>
          <w:b/>
          <w:sz w:val="24"/>
        </w:rPr>
        <w:t>Smoke Management Training and Lectures: </w:t>
      </w:r>
      <w:r>
        <w:rPr>
          <w:sz w:val="24"/>
        </w:rPr>
        <w:t>ODF forecasters are available to provide weather and smoke management training and program information at field locations.</w:t>
      </w:r>
    </w:p>
    <w:p>
      <w:pPr>
        <w:pStyle w:val="BodyText"/>
        <w:spacing w:before="1"/>
        <w:ind w:left="1099" w:right="1329"/>
      </w:pPr>
      <w:r>
        <w:rPr/>
        <w:t>These sessions would generally have to occur during the seasons when prescribed burning is not occurring.</w:t>
      </w:r>
    </w:p>
    <w:p>
      <w:pPr>
        <w:pStyle w:val="BodyText"/>
      </w:pPr>
    </w:p>
    <w:p>
      <w:pPr>
        <w:pStyle w:val="BodyText"/>
        <w:ind w:left="1099" w:right="1237"/>
      </w:pPr>
      <w:r>
        <w:rPr>
          <w:b/>
        </w:rPr>
        <w:t>Annual Summary and Operating Plan: </w:t>
      </w:r>
      <w:r>
        <w:rPr/>
        <w:t>The Smoke Management Annual Report is published by the staff of the Center. It provides a summary of prescribed burning activities for all landowners/land managers throughout the state.</w:t>
      </w:r>
    </w:p>
    <w:p>
      <w:pPr>
        <w:pStyle w:val="BodyText"/>
      </w:pPr>
    </w:p>
    <w:p>
      <w:pPr>
        <w:pStyle w:val="BodyText"/>
        <w:ind w:left="1100" w:right="1088"/>
      </w:pPr>
      <w:r>
        <w:rPr/>
        <w:t>An annual operating plan (this document) describing Salem Weather Center services, responsibilities, and procedures will be published each year. The operating plan is available on the ODF internet page shown in the "Contact" section of this plan.</w:t>
      </w:r>
    </w:p>
    <w:p>
      <w:pPr>
        <w:pStyle w:val="BodyText"/>
        <w:spacing w:before="9"/>
        <w:rPr>
          <w:sz w:val="23"/>
        </w:rPr>
      </w:pPr>
    </w:p>
    <w:p>
      <w:pPr>
        <w:pStyle w:val="Heading5"/>
        <w:rPr>
          <w:u w:val="none"/>
        </w:rPr>
      </w:pPr>
      <w:bookmarkStart w:name="GEOGRAPHICAL ZONES" w:id="137"/>
      <w:bookmarkEnd w:id="137"/>
      <w:r>
        <w:rPr>
          <w:b w:val="0"/>
          <w:u w:val="none"/>
        </w:rPr>
      </w:r>
      <w:r>
        <w:rPr>
          <w:u w:val="thick"/>
        </w:rPr>
        <w:t>GEOGRAPHICAL ZONES</w:t>
      </w:r>
    </w:p>
    <w:p>
      <w:pPr>
        <w:pStyle w:val="BodyText"/>
        <w:spacing w:before="5"/>
        <w:ind w:left="1100"/>
      </w:pPr>
      <w:r>
        <w:rPr/>
        <w:t>Forecast zones may be found at the following web</w:t>
      </w:r>
    </w:p>
    <w:p>
      <w:pPr>
        <w:pStyle w:val="BodyText"/>
        <w:ind w:left="1100"/>
      </w:pPr>
      <w:r>
        <w:rPr/>
        <w:t>site: </w:t>
      </w:r>
      <w:hyperlink r:id="rId130">
        <w:r>
          <w:rPr>
            <w:color w:val="0462C1"/>
            <w:u w:val="single" w:color="0462C1"/>
          </w:rPr>
          <w:t>http://www.oregon.gov/ODF/Documents/Fire/FIRE_WEATHER_ZONE_2015.pdf</w:t>
        </w:r>
      </w:hyperlink>
    </w:p>
    <w:p>
      <w:pPr>
        <w:spacing w:after="0"/>
        <w:sectPr>
          <w:footerReference w:type="default" r:id="rId129"/>
          <w:pgSz w:w="12240" w:h="15840"/>
          <w:pgMar w:footer="1048" w:header="0" w:top="1500" w:bottom="1240" w:left="340" w:right="620"/>
        </w:sectPr>
      </w:pPr>
    </w:p>
    <w:p>
      <w:pPr>
        <w:spacing w:before="57"/>
        <w:ind w:left="3188" w:right="1326" w:firstLine="0"/>
        <w:jc w:val="left"/>
        <w:rPr>
          <w:b/>
          <w:sz w:val="44"/>
        </w:rPr>
      </w:pPr>
      <w:r>
        <w:rPr/>
        <w:drawing>
          <wp:anchor distT="0" distB="0" distL="0" distR="0" allowOverlap="1" layoutInCell="1" locked="0" behindDoc="0" simplePos="0" relativeHeight="2008">
            <wp:simplePos x="0" y="0"/>
            <wp:positionH relativeFrom="page">
              <wp:posOffset>932180</wp:posOffset>
            </wp:positionH>
            <wp:positionV relativeFrom="paragraph">
              <wp:posOffset>37029</wp:posOffset>
            </wp:positionV>
            <wp:extent cx="1213484" cy="1207768"/>
            <wp:effectExtent l="0" t="0" r="0" b="0"/>
            <wp:wrapNone/>
            <wp:docPr id="41" name="image2.png" descr=""/>
            <wp:cNvGraphicFramePr>
              <a:graphicFrameLocks noChangeAspect="1"/>
            </wp:cNvGraphicFramePr>
            <a:graphic>
              <a:graphicData uri="http://schemas.openxmlformats.org/drawingml/2006/picture">
                <pic:pic>
                  <pic:nvPicPr>
                    <pic:cNvPr id="42" name="image2.png"/>
                    <pic:cNvPicPr/>
                  </pic:nvPicPr>
                  <pic:blipFill>
                    <a:blip r:embed="rId6" cstate="print"/>
                    <a:stretch>
                      <a:fillRect/>
                    </a:stretch>
                  </pic:blipFill>
                  <pic:spPr>
                    <a:xfrm>
                      <a:off x="0" y="0"/>
                      <a:ext cx="1213484" cy="1207768"/>
                    </a:xfrm>
                    <a:prstGeom prst="rect">
                      <a:avLst/>
                    </a:prstGeom>
                  </pic:spPr>
                </pic:pic>
              </a:graphicData>
            </a:graphic>
          </wp:anchor>
        </w:drawing>
      </w:r>
      <w:bookmarkStart w:name="WASHINGTON DEPARTMENT OF NATURAL RESOURC" w:id="138"/>
      <w:bookmarkEnd w:id="138"/>
      <w:r>
        <w:rPr/>
      </w:r>
      <w:bookmarkStart w:name="_bookmark19" w:id="139"/>
      <w:bookmarkEnd w:id="139"/>
      <w:r>
        <w:rPr/>
      </w:r>
      <w:r>
        <w:rPr>
          <w:b/>
          <w:sz w:val="44"/>
        </w:rPr>
        <w:t>WASHINGTON DEPARTMENT OF NATURAL RESOURCES</w:t>
      </w:r>
    </w:p>
    <w:p>
      <w:pPr>
        <w:pStyle w:val="Heading5"/>
        <w:spacing w:before="59"/>
        <w:ind w:left="3188"/>
        <w:rPr>
          <w:u w:val="none"/>
        </w:rPr>
      </w:pPr>
      <w:bookmarkStart w:name="PREDICTIVE SERVICES SECTION" w:id="140"/>
      <w:bookmarkEnd w:id="140"/>
      <w:r>
        <w:rPr>
          <w:b w:val="0"/>
          <w:u w:val="none"/>
        </w:rPr>
      </w:r>
      <w:r>
        <w:rPr>
          <w:u w:val="none"/>
        </w:rPr>
        <w:t>PREDICTIVE SERVICES SECTION</w:t>
      </w:r>
    </w:p>
    <w:p>
      <w:pPr>
        <w:pStyle w:val="BodyText"/>
        <w:rPr>
          <w:b/>
          <w:sz w:val="20"/>
        </w:rPr>
      </w:pPr>
    </w:p>
    <w:p>
      <w:pPr>
        <w:pStyle w:val="BodyText"/>
        <w:rPr>
          <w:b/>
          <w:sz w:val="20"/>
        </w:rPr>
      </w:pPr>
    </w:p>
    <w:p>
      <w:pPr>
        <w:spacing w:before="228"/>
        <w:ind w:left="999" w:right="0" w:firstLine="0"/>
        <w:jc w:val="left"/>
        <w:rPr>
          <w:b/>
          <w:sz w:val="32"/>
        </w:rPr>
      </w:pPr>
      <w:r>
        <w:rPr>
          <w:b/>
          <w:sz w:val="32"/>
          <w:u w:val="thick"/>
        </w:rPr>
        <w:t>HOURS OF OPERATION</w:t>
      </w:r>
    </w:p>
    <w:p>
      <w:pPr>
        <w:spacing w:before="2"/>
        <w:ind w:left="999" w:right="1455" w:firstLine="0"/>
        <w:jc w:val="left"/>
        <w:rPr>
          <w:sz w:val="22"/>
        </w:rPr>
      </w:pPr>
      <w:r>
        <w:rPr>
          <w:sz w:val="22"/>
        </w:rPr>
        <w:t>Staff in the predictive services section are generally in the office from Monday to Friday between the hours of 0700 and 1730. When fire season dictates, one or more staff may be present during the same hours on the weekend as well.</w:t>
      </w:r>
    </w:p>
    <w:p>
      <w:pPr>
        <w:pStyle w:val="BodyText"/>
        <w:spacing w:before="9"/>
        <w:rPr>
          <w:sz w:val="21"/>
        </w:rPr>
      </w:pPr>
    </w:p>
    <w:p>
      <w:pPr>
        <w:pStyle w:val="Heading5"/>
        <w:ind w:left="999"/>
        <w:rPr>
          <w:u w:val="none"/>
        </w:rPr>
      </w:pPr>
      <w:r>
        <w:rPr>
          <w:u w:val="thick"/>
        </w:rPr>
        <w:t>LOCATION</w:t>
      </w:r>
    </w:p>
    <w:p>
      <w:pPr>
        <w:spacing w:before="2"/>
        <w:ind w:left="999" w:right="5761" w:firstLine="0"/>
        <w:jc w:val="left"/>
        <w:rPr>
          <w:sz w:val="22"/>
        </w:rPr>
      </w:pPr>
      <w:r>
        <w:rPr>
          <w:sz w:val="22"/>
        </w:rPr>
        <w:t>Washington Department of Natural Resources Headquarters, Wildfire Division</w:t>
      </w:r>
    </w:p>
    <w:p>
      <w:pPr>
        <w:spacing w:before="0"/>
        <w:ind w:left="999" w:right="7546" w:firstLine="0"/>
        <w:jc w:val="left"/>
        <w:rPr>
          <w:sz w:val="22"/>
        </w:rPr>
      </w:pPr>
      <w:r>
        <w:rPr>
          <w:sz w:val="22"/>
        </w:rPr>
        <w:t>1111 Washington Street SE MS: 47037</w:t>
      </w:r>
    </w:p>
    <w:p>
      <w:pPr>
        <w:spacing w:before="1"/>
        <w:ind w:left="999" w:right="0" w:firstLine="0"/>
        <w:jc w:val="left"/>
        <w:rPr>
          <w:sz w:val="22"/>
        </w:rPr>
      </w:pPr>
      <w:r>
        <w:rPr>
          <w:sz w:val="22"/>
        </w:rPr>
        <w:t>Olympia, WA 98504</w:t>
      </w:r>
    </w:p>
    <w:p>
      <w:pPr>
        <w:pStyle w:val="BodyText"/>
        <w:spacing w:before="9"/>
        <w:rPr>
          <w:sz w:val="21"/>
        </w:rPr>
      </w:pPr>
    </w:p>
    <w:p>
      <w:pPr>
        <w:pStyle w:val="Heading5"/>
        <w:ind w:left="999"/>
        <w:rPr>
          <w:u w:val="none"/>
        </w:rPr>
      </w:pPr>
      <w:r>
        <w:rPr>
          <w:u w:val="thick"/>
        </w:rPr>
        <w:t>STAFF AND CONTACT</w:t>
      </w:r>
    </w:p>
    <w:p>
      <w:pPr>
        <w:pStyle w:val="BodyText"/>
        <w:spacing w:before="8"/>
        <w:rPr>
          <w:b/>
          <w:sz w:val="13"/>
        </w:rPr>
      </w:pPr>
    </w:p>
    <w:p>
      <w:pPr>
        <w:spacing w:before="94"/>
        <w:ind w:left="999" w:right="0" w:firstLine="0"/>
        <w:jc w:val="left"/>
        <w:rPr>
          <w:b/>
          <w:sz w:val="22"/>
        </w:rPr>
      </w:pPr>
      <w:r>
        <w:rPr>
          <w:b/>
          <w:sz w:val="22"/>
        </w:rPr>
        <w:t>Management Staff:</w:t>
      </w:r>
    </w:p>
    <w:p>
      <w:pPr>
        <w:tabs>
          <w:tab w:pos="3159" w:val="left" w:leader="none"/>
        </w:tabs>
        <w:spacing w:before="4"/>
        <w:ind w:left="999" w:right="3676" w:hanging="1"/>
        <w:jc w:val="left"/>
        <w:rPr>
          <w:sz w:val="22"/>
        </w:rPr>
      </w:pPr>
      <w:r>
        <w:rPr>
          <w:sz w:val="22"/>
        </w:rPr>
        <w:t>George</w:t>
      </w:r>
      <w:r>
        <w:rPr>
          <w:spacing w:val="-3"/>
          <w:sz w:val="22"/>
        </w:rPr>
        <w:t> </w:t>
      </w:r>
      <w:r>
        <w:rPr>
          <w:sz w:val="22"/>
        </w:rPr>
        <w:t>Geissler</w:t>
        <w:tab/>
        <w:t>State Forester, Deputy Supervisor for Wildfire Chuck</w:t>
      </w:r>
      <w:r>
        <w:rPr>
          <w:spacing w:val="-3"/>
          <w:sz w:val="22"/>
        </w:rPr>
        <w:t> </w:t>
      </w:r>
      <w:r>
        <w:rPr>
          <w:sz w:val="22"/>
        </w:rPr>
        <w:t>Turley</w:t>
        <w:tab/>
        <w:t>Division Manager,</w:t>
      </w:r>
      <w:r>
        <w:rPr>
          <w:spacing w:val="-3"/>
          <w:sz w:val="22"/>
        </w:rPr>
        <w:t> </w:t>
      </w:r>
      <w:r>
        <w:rPr>
          <w:sz w:val="22"/>
        </w:rPr>
        <w:t>Wildfire</w:t>
      </w:r>
    </w:p>
    <w:p>
      <w:pPr>
        <w:tabs>
          <w:tab w:pos="3159" w:val="left" w:leader="none"/>
        </w:tabs>
        <w:spacing w:line="251" w:lineRule="exact" w:before="0"/>
        <w:ind w:left="999" w:right="0" w:firstLine="0"/>
        <w:jc w:val="left"/>
        <w:rPr>
          <w:sz w:val="22"/>
        </w:rPr>
      </w:pPr>
      <w:r>
        <w:rPr>
          <w:sz w:val="22"/>
        </w:rPr>
        <w:t>Karen</w:t>
      </w:r>
      <w:r>
        <w:rPr>
          <w:spacing w:val="-2"/>
          <w:sz w:val="22"/>
        </w:rPr>
        <w:t> </w:t>
      </w:r>
      <w:r>
        <w:rPr>
          <w:sz w:val="22"/>
        </w:rPr>
        <w:t>Arnold</w:t>
        <w:tab/>
        <w:t>Ass. Div. Manager, Predictive Services and Operations</w:t>
      </w:r>
      <w:r>
        <w:rPr>
          <w:spacing w:val="1"/>
          <w:sz w:val="22"/>
        </w:rPr>
        <w:t> </w:t>
      </w:r>
      <w:r>
        <w:rPr>
          <w:sz w:val="22"/>
        </w:rPr>
        <w:t>Support</w:t>
      </w:r>
    </w:p>
    <w:p>
      <w:pPr>
        <w:pStyle w:val="BodyText"/>
        <w:spacing w:before="9"/>
        <w:rPr>
          <w:sz w:val="21"/>
        </w:rPr>
      </w:pPr>
    </w:p>
    <w:p>
      <w:pPr>
        <w:spacing w:before="0"/>
        <w:ind w:left="999" w:right="0" w:firstLine="0"/>
        <w:jc w:val="left"/>
        <w:rPr>
          <w:b/>
          <w:sz w:val="22"/>
        </w:rPr>
      </w:pPr>
      <w:r>
        <w:rPr>
          <w:b/>
          <w:sz w:val="22"/>
        </w:rPr>
        <w:t>Predictive Services Section Staff:</w:t>
      </w:r>
    </w:p>
    <w:p>
      <w:pPr>
        <w:tabs>
          <w:tab w:pos="3159" w:val="left" w:leader="none"/>
        </w:tabs>
        <w:spacing w:before="4"/>
        <w:ind w:left="999" w:right="2861" w:hanging="1"/>
        <w:jc w:val="left"/>
        <w:rPr>
          <w:sz w:val="22"/>
        </w:rPr>
      </w:pPr>
      <w:r>
        <w:rPr>
          <w:sz w:val="22"/>
        </w:rPr>
        <w:t>Josh</w:t>
      </w:r>
      <w:r>
        <w:rPr>
          <w:spacing w:val="-2"/>
          <w:sz w:val="22"/>
        </w:rPr>
        <w:t> </w:t>
      </w:r>
      <w:r>
        <w:rPr>
          <w:sz w:val="22"/>
        </w:rPr>
        <w:t>Clark</w:t>
        <w:tab/>
        <w:t>Meteorologist, Weather and RAWS Program Manager Vaughn</w:t>
      </w:r>
      <w:r>
        <w:rPr>
          <w:spacing w:val="-2"/>
          <w:sz w:val="22"/>
        </w:rPr>
        <w:t> </w:t>
      </w:r>
      <w:r>
        <w:rPr>
          <w:sz w:val="22"/>
        </w:rPr>
        <w:t>Cork</w:t>
        <w:tab/>
        <w:t>Fuels and Fire Regulation Program</w:t>
      </w:r>
      <w:r>
        <w:rPr>
          <w:spacing w:val="-7"/>
          <w:sz w:val="22"/>
        </w:rPr>
        <w:t> </w:t>
      </w:r>
      <w:r>
        <w:rPr>
          <w:sz w:val="22"/>
        </w:rPr>
        <w:t>Manager</w:t>
      </w:r>
    </w:p>
    <w:p>
      <w:pPr>
        <w:tabs>
          <w:tab w:pos="3159" w:val="left" w:leader="none"/>
        </w:tabs>
        <w:spacing w:line="252" w:lineRule="exact" w:before="1"/>
        <w:ind w:left="999" w:right="0" w:firstLine="0"/>
        <w:jc w:val="left"/>
        <w:rPr>
          <w:sz w:val="22"/>
        </w:rPr>
      </w:pPr>
      <w:r>
        <w:rPr>
          <w:sz w:val="22"/>
        </w:rPr>
        <w:t>Kirk</w:t>
      </w:r>
      <w:r>
        <w:rPr>
          <w:spacing w:val="-2"/>
          <w:sz w:val="22"/>
        </w:rPr>
        <w:t> </w:t>
      </w:r>
      <w:r>
        <w:rPr>
          <w:sz w:val="22"/>
        </w:rPr>
        <w:t>Davis</w:t>
        <w:tab/>
        <w:t>GIS Program</w:t>
      </w:r>
      <w:r>
        <w:rPr>
          <w:spacing w:val="-4"/>
          <w:sz w:val="22"/>
        </w:rPr>
        <w:t> </w:t>
      </w:r>
      <w:r>
        <w:rPr>
          <w:sz w:val="22"/>
        </w:rPr>
        <w:t>Manager</w:t>
      </w:r>
    </w:p>
    <w:p>
      <w:pPr>
        <w:tabs>
          <w:tab w:pos="3159" w:val="left" w:leader="none"/>
        </w:tabs>
        <w:spacing w:before="0"/>
        <w:ind w:left="999" w:right="4339" w:firstLine="0"/>
        <w:jc w:val="left"/>
        <w:rPr>
          <w:sz w:val="22"/>
        </w:rPr>
      </w:pPr>
      <w:r>
        <w:rPr>
          <w:sz w:val="22"/>
        </w:rPr>
        <w:t>Carolyn</w:t>
      </w:r>
      <w:r>
        <w:rPr>
          <w:spacing w:val="-3"/>
          <w:sz w:val="22"/>
        </w:rPr>
        <w:t> </w:t>
      </w:r>
      <w:r>
        <w:rPr>
          <w:sz w:val="22"/>
        </w:rPr>
        <w:t>Kelly</w:t>
        <w:tab/>
        <w:t>Smoke Management Field Coordinator Josh</w:t>
      </w:r>
      <w:r>
        <w:rPr>
          <w:spacing w:val="-2"/>
          <w:sz w:val="22"/>
        </w:rPr>
        <w:t> </w:t>
      </w:r>
      <w:r>
        <w:rPr>
          <w:sz w:val="22"/>
        </w:rPr>
        <w:t>Mohler</w:t>
        <w:tab/>
        <w:t>Fire Intelligence</w:t>
      </w:r>
      <w:r>
        <w:rPr>
          <w:spacing w:val="-2"/>
          <w:sz w:val="22"/>
        </w:rPr>
        <w:t> </w:t>
      </w:r>
      <w:r>
        <w:rPr>
          <w:sz w:val="22"/>
        </w:rPr>
        <w:t>Coordinator</w:t>
      </w:r>
    </w:p>
    <w:p>
      <w:pPr>
        <w:pStyle w:val="BodyText"/>
        <w:spacing w:before="2"/>
        <w:rPr>
          <w:sz w:val="22"/>
        </w:rPr>
      </w:pPr>
    </w:p>
    <w:tbl>
      <w:tblPr>
        <w:tblW w:w="0" w:type="auto"/>
        <w:jc w:val="left"/>
        <w:tblInd w:w="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2918"/>
        <w:gridCol w:w="3673"/>
      </w:tblGrid>
      <w:tr>
        <w:trPr>
          <w:trHeight w:val="251" w:hRule="atLeast"/>
        </w:trPr>
        <w:tc>
          <w:tcPr>
            <w:tcW w:w="1778" w:type="dxa"/>
          </w:tcPr>
          <w:p>
            <w:pPr>
              <w:pStyle w:val="TableParagraph"/>
              <w:spacing w:line="232" w:lineRule="exact"/>
              <w:ind w:left="50"/>
              <w:rPr>
                <w:b/>
                <w:sz w:val="22"/>
              </w:rPr>
            </w:pPr>
            <w:r>
              <w:rPr>
                <w:b/>
                <w:sz w:val="22"/>
              </w:rPr>
              <w:t>Contact</w:t>
            </w:r>
          </w:p>
        </w:tc>
        <w:tc>
          <w:tcPr>
            <w:tcW w:w="2918" w:type="dxa"/>
          </w:tcPr>
          <w:p>
            <w:pPr>
              <w:pStyle w:val="TableParagraph"/>
              <w:spacing w:line="232" w:lineRule="exact"/>
              <w:ind w:left="432"/>
              <w:rPr>
                <w:b/>
                <w:sz w:val="22"/>
              </w:rPr>
            </w:pPr>
            <w:r>
              <w:rPr>
                <w:b/>
                <w:sz w:val="22"/>
              </w:rPr>
              <w:t>Phone</w:t>
            </w:r>
          </w:p>
        </w:tc>
        <w:tc>
          <w:tcPr>
            <w:tcW w:w="3673" w:type="dxa"/>
          </w:tcPr>
          <w:p>
            <w:pPr>
              <w:pStyle w:val="TableParagraph"/>
              <w:spacing w:line="232" w:lineRule="exact"/>
              <w:ind w:left="1114"/>
              <w:rPr>
                <w:b/>
                <w:sz w:val="22"/>
              </w:rPr>
            </w:pPr>
            <w:r>
              <w:rPr>
                <w:b/>
                <w:sz w:val="22"/>
              </w:rPr>
              <w:t>Email</w:t>
            </w:r>
          </w:p>
        </w:tc>
      </w:tr>
      <w:tr>
        <w:trPr>
          <w:trHeight w:val="254" w:hRule="atLeast"/>
        </w:trPr>
        <w:tc>
          <w:tcPr>
            <w:tcW w:w="1778" w:type="dxa"/>
          </w:tcPr>
          <w:p>
            <w:pPr>
              <w:pStyle w:val="TableParagraph"/>
              <w:spacing w:line="234" w:lineRule="exact"/>
              <w:ind w:left="50"/>
              <w:rPr>
                <w:sz w:val="22"/>
              </w:rPr>
            </w:pPr>
            <w:r>
              <w:rPr>
                <w:sz w:val="22"/>
              </w:rPr>
              <w:t>Josh Clark</w:t>
            </w:r>
          </w:p>
        </w:tc>
        <w:tc>
          <w:tcPr>
            <w:tcW w:w="2918" w:type="dxa"/>
          </w:tcPr>
          <w:p>
            <w:pPr>
              <w:pStyle w:val="TableParagraph"/>
              <w:spacing w:line="234" w:lineRule="exact"/>
              <w:ind w:left="432"/>
              <w:rPr>
                <w:sz w:val="22"/>
              </w:rPr>
            </w:pPr>
            <w:r>
              <w:rPr>
                <w:sz w:val="22"/>
              </w:rPr>
              <w:t>360-902-1322</w:t>
            </w:r>
          </w:p>
        </w:tc>
        <w:tc>
          <w:tcPr>
            <w:tcW w:w="3673" w:type="dxa"/>
          </w:tcPr>
          <w:p>
            <w:pPr>
              <w:pStyle w:val="TableParagraph"/>
              <w:spacing w:line="234" w:lineRule="exact"/>
              <w:ind w:left="1114"/>
              <w:rPr>
                <w:sz w:val="22"/>
              </w:rPr>
            </w:pPr>
            <w:hyperlink r:id="rId132">
              <w:r>
                <w:rPr>
                  <w:sz w:val="22"/>
                </w:rPr>
                <w:t>josh.clark@dnr.wa.gov</w:t>
              </w:r>
            </w:hyperlink>
          </w:p>
        </w:tc>
      </w:tr>
      <w:tr>
        <w:trPr>
          <w:trHeight w:val="251" w:hRule="atLeast"/>
        </w:trPr>
        <w:tc>
          <w:tcPr>
            <w:tcW w:w="1778" w:type="dxa"/>
          </w:tcPr>
          <w:p>
            <w:pPr>
              <w:pStyle w:val="TableParagraph"/>
              <w:spacing w:line="232" w:lineRule="exact"/>
              <w:ind w:left="50"/>
              <w:rPr>
                <w:sz w:val="22"/>
              </w:rPr>
            </w:pPr>
            <w:r>
              <w:rPr>
                <w:sz w:val="22"/>
              </w:rPr>
              <w:t>Vaughn Cork</w:t>
            </w:r>
          </w:p>
        </w:tc>
        <w:tc>
          <w:tcPr>
            <w:tcW w:w="2918" w:type="dxa"/>
          </w:tcPr>
          <w:p>
            <w:pPr>
              <w:pStyle w:val="TableParagraph"/>
              <w:spacing w:line="232" w:lineRule="exact"/>
              <w:ind w:left="432"/>
              <w:rPr>
                <w:sz w:val="22"/>
              </w:rPr>
            </w:pPr>
            <w:r>
              <w:rPr>
                <w:sz w:val="22"/>
              </w:rPr>
              <w:t>360-902-1318</w:t>
            </w:r>
          </w:p>
        </w:tc>
        <w:tc>
          <w:tcPr>
            <w:tcW w:w="3673" w:type="dxa"/>
          </w:tcPr>
          <w:p>
            <w:pPr>
              <w:pStyle w:val="TableParagraph"/>
              <w:spacing w:line="232" w:lineRule="exact"/>
              <w:ind w:left="1114"/>
              <w:rPr>
                <w:sz w:val="22"/>
              </w:rPr>
            </w:pPr>
            <w:hyperlink r:id="rId133">
              <w:r>
                <w:rPr>
                  <w:sz w:val="22"/>
                </w:rPr>
                <w:t>vaughn.cork@dnr.wa.gov</w:t>
              </w:r>
            </w:hyperlink>
          </w:p>
        </w:tc>
      </w:tr>
      <w:tr>
        <w:trPr>
          <w:trHeight w:val="253" w:hRule="atLeast"/>
        </w:trPr>
        <w:tc>
          <w:tcPr>
            <w:tcW w:w="1778" w:type="dxa"/>
          </w:tcPr>
          <w:p>
            <w:pPr>
              <w:pStyle w:val="TableParagraph"/>
              <w:spacing w:line="233" w:lineRule="exact"/>
              <w:ind w:left="50"/>
              <w:rPr>
                <w:sz w:val="22"/>
              </w:rPr>
            </w:pPr>
            <w:r>
              <w:rPr>
                <w:sz w:val="22"/>
              </w:rPr>
              <w:t>Kirk Davis</w:t>
            </w:r>
          </w:p>
        </w:tc>
        <w:tc>
          <w:tcPr>
            <w:tcW w:w="2918" w:type="dxa"/>
          </w:tcPr>
          <w:p>
            <w:pPr>
              <w:pStyle w:val="TableParagraph"/>
              <w:spacing w:line="233" w:lineRule="exact"/>
              <w:ind w:left="432"/>
              <w:rPr>
                <w:sz w:val="22"/>
              </w:rPr>
            </w:pPr>
            <w:r>
              <w:rPr>
                <w:sz w:val="22"/>
              </w:rPr>
              <w:t>360-902-1330</w:t>
            </w:r>
          </w:p>
        </w:tc>
        <w:tc>
          <w:tcPr>
            <w:tcW w:w="3673" w:type="dxa"/>
          </w:tcPr>
          <w:p>
            <w:pPr>
              <w:pStyle w:val="TableParagraph"/>
              <w:spacing w:line="233" w:lineRule="exact"/>
              <w:ind w:left="1114"/>
              <w:rPr>
                <w:sz w:val="22"/>
              </w:rPr>
            </w:pPr>
            <w:hyperlink r:id="rId134">
              <w:r>
                <w:rPr>
                  <w:sz w:val="22"/>
                </w:rPr>
                <w:t>kirk.davis@dnr.wa.gov</w:t>
              </w:r>
            </w:hyperlink>
          </w:p>
        </w:tc>
      </w:tr>
      <w:tr>
        <w:trPr>
          <w:trHeight w:val="253" w:hRule="atLeast"/>
        </w:trPr>
        <w:tc>
          <w:tcPr>
            <w:tcW w:w="1778" w:type="dxa"/>
          </w:tcPr>
          <w:p>
            <w:pPr>
              <w:pStyle w:val="TableParagraph"/>
              <w:spacing w:line="233" w:lineRule="exact"/>
              <w:ind w:left="50"/>
              <w:rPr>
                <w:sz w:val="22"/>
              </w:rPr>
            </w:pPr>
            <w:r>
              <w:rPr>
                <w:sz w:val="22"/>
              </w:rPr>
              <w:t>Carolyn Kelly</w:t>
            </w:r>
          </w:p>
        </w:tc>
        <w:tc>
          <w:tcPr>
            <w:tcW w:w="2918" w:type="dxa"/>
          </w:tcPr>
          <w:p>
            <w:pPr>
              <w:pStyle w:val="TableParagraph"/>
              <w:spacing w:line="233" w:lineRule="exact"/>
              <w:ind w:left="432"/>
              <w:rPr>
                <w:sz w:val="22"/>
              </w:rPr>
            </w:pPr>
            <w:r>
              <w:rPr>
                <w:sz w:val="22"/>
              </w:rPr>
              <w:t>360-902-1387</w:t>
            </w:r>
          </w:p>
        </w:tc>
        <w:tc>
          <w:tcPr>
            <w:tcW w:w="3673" w:type="dxa"/>
          </w:tcPr>
          <w:p>
            <w:pPr>
              <w:pStyle w:val="TableParagraph"/>
              <w:spacing w:line="233" w:lineRule="exact"/>
              <w:ind w:left="1115"/>
              <w:rPr>
                <w:sz w:val="22"/>
              </w:rPr>
            </w:pPr>
            <w:hyperlink r:id="rId135">
              <w:r>
                <w:rPr>
                  <w:sz w:val="22"/>
                </w:rPr>
                <w:t>carolyn.kelly@dnr.wa.gov</w:t>
              </w:r>
            </w:hyperlink>
          </w:p>
        </w:tc>
      </w:tr>
      <w:tr>
        <w:trPr>
          <w:trHeight w:val="253" w:hRule="atLeast"/>
        </w:trPr>
        <w:tc>
          <w:tcPr>
            <w:tcW w:w="1778" w:type="dxa"/>
          </w:tcPr>
          <w:p>
            <w:pPr>
              <w:pStyle w:val="TableParagraph"/>
              <w:spacing w:line="233" w:lineRule="exact"/>
              <w:ind w:left="51"/>
              <w:rPr>
                <w:sz w:val="22"/>
              </w:rPr>
            </w:pPr>
            <w:r>
              <w:rPr>
                <w:sz w:val="22"/>
              </w:rPr>
              <w:t>Josh Mohler</w:t>
            </w:r>
          </w:p>
        </w:tc>
        <w:tc>
          <w:tcPr>
            <w:tcW w:w="2918" w:type="dxa"/>
          </w:tcPr>
          <w:p>
            <w:pPr>
              <w:pStyle w:val="TableParagraph"/>
              <w:spacing w:line="233" w:lineRule="exact"/>
              <w:ind w:left="433"/>
              <w:rPr>
                <w:sz w:val="22"/>
              </w:rPr>
            </w:pPr>
            <w:r>
              <w:rPr>
                <w:sz w:val="22"/>
              </w:rPr>
              <w:t>360-902-1333</w:t>
            </w:r>
          </w:p>
        </w:tc>
        <w:tc>
          <w:tcPr>
            <w:tcW w:w="3673" w:type="dxa"/>
          </w:tcPr>
          <w:p>
            <w:pPr>
              <w:pStyle w:val="TableParagraph"/>
              <w:spacing w:line="233" w:lineRule="exact"/>
              <w:ind w:left="1115"/>
              <w:rPr>
                <w:sz w:val="22"/>
              </w:rPr>
            </w:pPr>
            <w:hyperlink r:id="rId136">
              <w:r>
                <w:rPr>
                  <w:sz w:val="22"/>
                </w:rPr>
                <w:t>josh.mohler@dnr.wa.gov</w:t>
              </w:r>
            </w:hyperlink>
          </w:p>
        </w:tc>
      </w:tr>
      <w:tr>
        <w:trPr>
          <w:trHeight w:val="250" w:hRule="atLeast"/>
        </w:trPr>
        <w:tc>
          <w:tcPr>
            <w:tcW w:w="1778" w:type="dxa"/>
          </w:tcPr>
          <w:p>
            <w:pPr>
              <w:pStyle w:val="TableParagraph"/>
              <w:spacing w:line="231" w:lineRule="exact"/>
              <w:ind w:left="51"/>
              <w:rPr>
                <w:sz w:val="22"/>
              </w:rPr>
            </w:pPr>
            <w:r>
              <w:rPr>
                <w:sz w:val="22"/>
              </w:rPr>
              <w:t>Fax</w:t>
            </w:r>
          </w:p>
        </w:tc>
        <w:tc>
          <w:tcPr>
            <w:tcW w:w="2918" w:type="dxa"/>
          </w:tcPr>
          <w:p>
            <w:pPr>
              <w:pStyle w:val="TableParagraph"/>
              <w:spacing w:line="231" w:lineRule="exact"/>
              <w:ind w:left="433"/>
              <w:rPr>
                <w:sz w:val="22"/>
              </w:rPr>
            </w:pPr>
            <w:r>
              <w:rPr>
                <w:sz w:val="22"/>
              </w:rPr>
              <w:t>360-902-1757</w:t>
            </w:r>
          </w:p>
        </w:tc>
        <w:tc>
          <w:tcPr>
            <w:tcW w:w="3673" w:type="dxa"/>
          </w:tcPr>
          <w:p>
            <w:pPr>
              <w:pStyle w:val="TableParagraph"/>
              <w:rPr>
                <w:rFonts w:ascii="Times New Roman"/>
                <w:sz w:val="18"/>
              </w:rPr>
            </w:pPr>
          </w:p>
        </w:tc>
      </w:tr>
    </w:tbl>
    <w:p>
      <w:pPr>
        <w:pStyle w:val="BodyText"/>
        <w:spacing w:before="9"/>
        <w:rPr>
          <w:sz w:val="21"/>
        </w:rPr>
      </w:pPr>
    </w:p>
    <w:p>
      <w:pPr>
        <w:spacing w:line="242" w:lineRule="auto" w:before="0"/>
        <w:ind w:left="999" w:right="3130" w:firstLine="2"/>
        <w:jc w:val="left"/>
        <w:rPr>
          <w:sz w:val="22"/>
        </w:rPr>
      </w:pPr>
      <w:r>
        <w:rPr>
          <w:sz w:val="22"/>
        </w:rPr>
        <w:t>Internet: </w:t>
      </w:r>
      <w:hyperlink r:id="rId137">
        <w:r>
          <w:rPr>
            <w:color w:val="0000FF"/>
            <w:sz w:val="22"/>
            <w:u w:val="single" w:color="0000FF"/>
          </w:rPr>
          <w:t>http://www.dnr.wa.gov/programs-and-services/wildfire-resources</w:t>
        </w:r>
      </w:hyperlink>
      <w:r>
        <w:rPr>
          <w:color w:val="0000FF"/>
          <w:sz w:val="22"/>
        </w:rPr>
        <w:t> </w:t>
      </w:r>
      <w:r>
        <w:rPr>
          <w:sz w:val="22"/>
        </w:rPr>
        <w:t>Twitter: </w:t>
      </w:r>
      <w:hyperlink r:id="rId138">
        <w:r>
          <w:rPr>
            <w:color w:val="0000FF"/>
            <w:sz w:val="22"/>
            <w:u w:val="single" w:color="0000FF"/>
          </w:rPr>
          <w:t>https://twitter.com/waDNR_fire</w:t>
        </w:r>
      </w:hyperlink>
    </w:p>
    <w:p>
      <w:pPr>
        <w:spacing w:after="0" w:line="242" w:lineRule="auto"/>
        <w:jc w:val="left"/>
        <w:rPr>
          <w:sz w:val="22"/>
        </w:rPr>
        <w:sectPr>
          <w:footerReference w:type="default" r:id="rId131"/>
          <w:pgSz w:w="12240" w:h="15840"/>
          <w:pgMar w:footer="1048" w:header="0" w:top="1500" w:bottom="1240" w:left="340" w:right="620"/>
          <w:pgNumType w:start="86"/>
        </w:sectPr>
      </w:pPr>
    </w:p>
    <w:p>
      <w:pPr>
        <w:pStyle w:val="Heading5"/>
        <w:spacing w:before="75"/>
        <w:ind w:left="999"/>
        <w:rPr>
          <w:u w:val="none"/>
        </w:rPr>
      </w:pPr>
      <w:r>
        <w:rPr>
          <w:u w:val="thick"/>
        </w:rPr>
        <w:t>OPERATIONAL AREA</w:t>
      </w:r>
    </w:p>
    <w:p>
      <w:pPr>
        <w:spacing w:before="2"/>
        <w:ind w:left="999" w:right="1346" w:firstLine="0"/>
        <w:jc w:val="left"/>
        <w:rPr>
          <w:sz w:val="22"/>
        </w:rPr>
      </w:pPr>
      <w:r>
        <w:rPr>
          <w:sz w:val="22"/>
        </w:rPr>
        <w:t>For fire danger, regulation, and weather support, all DNR-managed or protected lands (13.1 million acres) in Washington, divided in six regional jurisdictions: Pacific Cascade, South Puget Sound, Olympic, Northwest, Southeast, and Northeast. These areas may be further defined as districts or fire units.</w:t>
      </w:r>
    </w:p>
    <w:p>
      <w:pPr>
        <w:pStyle w:val="BodyText"/>
        <w:spacing w:before="8"/>
        <w:rPr>
          <w:sz w:val="17"/>
        </w:rPr>
      </w:pPr>
      <w:r>
        <w:rPr/>
        <w:drawing>
          <wp:anchor distT="0" distB="0" distL="0" distR="0" allowOverlap="1" layoutInCell="1" locked="0" behindDoc="0" simplePos="0" relativeHeight="2032">
            <wp:simplePos x="0" y="0"/>
            <wp:positionH relativeFrom="page">
              <wp:posOffset>850900</wp:posOffset>
            </wp:positionH>
            <wp:positionV relativeFrom="paragraph">
              <wp:posOffset>154307</wp:posOffset>
            </wp:positionV>
            <wp:extent cx="5488894" cy="3657600"/>
            <wp:effectExtent l="0" t="0" r="0" b="0"/>
            <wp:wrapTopAndBottom/>
            <wp:docPr id="43" name="image21.jpeg" descr=""/>
            <wp:cNvGraphicFramePr>
              <a:graphicFrameLocks noChangeAspect="1"/>
            </wp:cNvGraphicFramePr>
            <a:graphic>
              <a:graphicData uri="http://schemas.openxmlformats.org/drawingml/2006/picture">
                <pic:pic>
                  <pic:nvPicPr>
                    <pic:cNvPr id="44" name="image21.jpeg"/>
                    <pic:cNvPicPr/>
                  </pic:nvPicPr>
                  <pic:blipFill>
                    <a:blip r:embed="rId139" cstate="print"/>
                    <a:stretch>
                      <a:fillRect/>
                    </a:stretch>
                  </pic:blipFill>
                  <pic:spPr>
                    <a:xfrm>
                      <a:off x="0" y="0"/>
                      <a:ext cx="5488894" cy="3657600"/>
                    </a:xfrm>
                    <a:prstGeom prst="rect">
                      <a:avLst/>
                    </a:prstGeom>
                  </pic:spPr>
                </pic:pic>
              </a:graphicData>
            </a:graphic>
          </wp:anchor>
        </w:drawing>
      </w:r>
    </w:p>
    <w:p>
      <w:pPr>
        <w:pStyle w:val="BodyText"/>
      </w:pPr>
    </w:p>
    <w:p>
      <w:pPr>
        <w:pStyle w:val="BodyText"/>
        <w:spacing w:before="3"/>
        <w:rPr>
          <w:sz w:val="22"/>
        </w:rPr>
      </w:pPr>
    </w:p>
    <w:p>
      <w:pPr>
        <w:spacing w:before="0"/>
        <w:ind w:left="999" w:right="1273" w:firstLine="0"/>
        <w:jc w:val="left"/>
        <w:rPr>
          <w:sz w:val="22"/>
        </w:rPr>
      </w:pPr>
      <w:r>
        <w:rPr>
          <w:sz w:val="22"/>
        </w:rPr>
        <w:t>For smoke management/burn requests, all forested lands (public and private) in the state which meet the requirements for DNR approval as outlined in </w:t>
      </w:r>
      <w:hyperlink r:id="rId140">
        <w:r>
          <w:rPr>
            <w:color w:val="0000FF"/>
            <w:sz w:val="22"/>
            <w:u w:val="single" w:color="0000FF"/>
          </w:rPr>
          <w:t>Washington RCW 76.04</w:t>
        </w:r>
        <w:r>
          <w:rPr>
            <w:color w:val="0000FF"/>
            <w:sz w:val="22"/>
          </w:rPr>
          <w:t> </w:t>
        </w:r>
      </w:hyperlink>
      <w:r>
        <w:rPr>
          <w:sz w:val="22"/>
        </w:rPr>
        <w:t>and the </w:t>
      </w:r>
      <w:hyperlink r:id="rId141">
        <w:r>
          <w:rPr>
            <w:color w:val="0000FF"/>
            <w:sz w:val="22"/>
            <w:u w:val="single" w:color="0000FF"/>
          </w:rPr>
          <w:t>State Smoke Management Plan</w:t>
        </w:r>
        <w:r>
          <w:rPr>
            <w:color w:val="0000FF"/>
            <w:sz w:val="22"/>
          </w:rPr>
          <w:t> </w:t>
        </w:r>
      </w:hyperlink>
      <w:r>
        <w:rPr>
          <w:sz w:val="22"/>
        </w:rPr>
        <w:t>or those which pay a Forest Fire Protection Assessment tax.</w:t>
      </w:r>
    </w:p>
    <w:p>
      <w:pPr>
        <w:pStyle w:val="BodyText"/>
        <w:spacing w:before="9"/>
        <w:rPr>
          <w:sz w:val="21"/>
        </w:rPr>
      </w:pPr>
    </w:p>
    <w:p>
      <w:pPr>
        <w:pStyle w:val="Heading5"/>
        <w:ind w:left="1004"/>
        <w:rPr>
          <w:u w:val="none"/>
        </w:rPr>
      </w:pPr>
      <w:r>
        <w:rPr>
          <w:u w:val="thick"/>
        </w:rPr>
        <w:t>AGENCIES SERVED</w:t>
      </w:r>
    </w:p>
    <w:p>
      <w:pPr>
        <w:spacing w:before="5"/>
        <w:ind w:left="999" w:right="5748" w:firstLine="0"/>
        <w:jc w:val="left"/>
        <w:rPr>
          <w:sz w:val="22"/>
        </w:rPr>
      </w:pPr>
      <w:r>
        <w:rPr>
          <w:sz w:val="22"/>
        </w:rPr>
        <w:t>Washington Department of Natural Resources Washington Department of Fish and Wildlife Washington Emergency Management Division Washington Military Department</w:t>
      </w:r>
    </w:p>
    <w:p>
      <w:pPr>
        <w:spacing w:line="251" w:lineRule="exact" w:before="0"/>
        <w:ind w:left="999" w:right="0" w:firstLine="0"/>
        <w:jc w:val="left"/>
        <w:rPr>
          <w:sz w:val="22"/>
        </w:rPr>
      </w:pPr>
      <w:r>
        <w:rPr>
          <w:sz w:val="22"/>
        </w:rPr>
        <w:t>Washington State Fire Marshal’s Office</w:t>
      </w:r>
    </w:p>
    <w:p>
      <w:pPr>
        <w:spacing w:before="1"/>
        <w:ind w:left="999" w:right="0" w:firstLine="0"/>
        <w:jc w:val="left"/>
        <w:rPr>
          <w:sz w:val="22"/>
        </w:rPr>
      </w:pPr>
      <w:r>
        <w:rPr>
          <w:sz w:val="22"/>
        </w:rPr>
        <w:t>Other federal and local partners when requested</w:t>
      </w:r>
    </w:p>
    <w:p>
      <w:pPr>
        <w:pStyle w:val="BodyText"/>
        <w:spacing w:before="9"/>
        <w:rPr>
          <w:sz w:val="21"/>
        </w:rPr>
      </w:pPr>
    </w:p>
    <w:p>
      <w:pPr>
        <w:pStyle w:val="Heading5"/>
        <w:spacing w:before="1"/>
        <w:ind w:left="999"/>
        <w:rPr>
          <w:u w:val="none"/>
        </w:rPr>
      </w:pPr>
      <w:r>
        <w:rPr>
          <w:u w:val="thick"/>
        </w:rPr>
        <w:t>SERVICES</w:t>
      </w:r>
    </w:p>
    <w:p>
      <w:pPr>
        <w:pStyle w:val="BodyText"/>
        <w:spacing w:before="8"/>
        <w:rPr>
          <w:b/>
          <w:sz w:val="13"/>
        </w:rPr>
      </w:pPr>
    </w:p>
    <w:p>
      <w:pPr>
        <w:spacing w:line="242" w:lineRule="auto" w:before="93"/>
        <w:ind w:left="999" w:right="1078" w:firstLine="0"/>
        <w:jc w:val="left"/>
        <w:rPr>
          <w:sz w:val="22"/>
        </w:rPr>
      </w:pPr>
      <w:r>
        <w:rPr>
          <w:b/>
          <w:sz w:val="22"/>
        </w:rPr>
        <w:t>Operational Weather and Climate Outlooks: </w:t>
      </w:r>
      <w:r>
        <w:rPr>
          <w:sz w:val="22"/>
        </w:rPr>
        <w:t>During fire season, generally between July and October, the meteorologist provides a daily weather briefing to the executive and regional leadership of the Washington Department of Natural Resources, Emergency Management Division, and State Fire Marshal’s office. The meteorologist also provides a weather forecast</w:t>
      </w:r>
    </w:p>
    <w:p>
      <w:pPr>
        <w:spacing w:after="0" w:line="242" w:lineRule="auto"/>
        <w:jc w:val="left"/>
        <w:rPr>
          <w:sz w:val="22"/>
        </w:rPr>
        <w:sectPr>
          <w:pgSz w:w="12240" w:h="15840"/>
          <w:pgMar w:header="0" w:footer="1048" w:top="1420" w:bottom="1240" w:left="340" w:right="620"/>
        </w:sectPr>
      </w:pPr>
    </w:p>
    <w:p>
      <w:pPr>
        <w:spacing w:before="77"/>
        <w:ind w:left="999" w:right="0" w:firstLine="0"/>
        <w:jc w:val="left"/>
        <w:rPr>
          <w:sz w:val="22"/>
        </w:rPr>
      </w:pPr>
      <w:r>
        <w:rPr>
          <w:sz w:val="22"/>
        </w:rPr>
        <w:t>for DNR aviation operations.</w:t>
      </w:r>
    </w:p>
    <w:p>
      <w:pPr>
        <w:pStyle w:val="BodyText"/>
        <w:rPr>
          <w:sz w:val="22"/>
        </w:rPr>
      </w:pPr>
    </w:p>
    <w:p>
      <w:pPr>
        <w:spacing w:before="1"/>
        <w:ind w:left="999" w:right="1326" w:firstLine="0"/>
        <w:jc w:val="left"/>
        <w:rPr>
          <w:sz w:val="22"/>
        </w:rPr>
      </w:pPr>
      <w:r>
        <w:rPr>
          <w:sz w:val="22"/>
        </w:rPr>
        <w:t>Outside of fire season, weather forecasts and briefings are provided to agency leadership when a reasonable impact to natural resources operations can be expected. This includes: landslides, significant wind events, severe weather, earthquakes, and other weather scenarios.</w:t>
      </w:r>
    </w:p>
    <w:p>
      <w:pPr>
        <w:pStyle w:val="BodyText"/>
        <w:spacing w:before="11"/>
        <w:rPr>
          <w:sz w:val="21"/>
        </w:rPr>
      </w:pPr>
    </w:p>
    <w:p>
      <w:pPr>
        <w:spacing w:before="0"/>
        <w:ind w:left="999" w:right="1700" w:firstLine="0"/>
        <w:jc w:val="left"/>
        <w:rPr>
          <w:sz w:val="22"/>
        </w:rPr>
      </w:pPr>
      <w:r>
        <w:rPr>
          <w:sz w:val="22"/>
        </w:rPr>
        <w:t>All briefings and products are carefully coordinated with regional weather partners at the National Weather Service offices and the Geographic Coordination Center.</w:t>
      </w:r>
    </w:p>
    <w:p>
      <w:pPr>
        <w:pStyle w:val="BodyText"/>
        <w:spacing w:before="8"/>
        <w:rPr>
          <w:sz w:val="21"/>
        </w:rPr>
      </w:pPr>
    </w:p>
    <w:p>
      <w:pPr>
        <w:spacing w:line="242" w:lineRule="auto" w:before="0"/>
        <w:ind w:left="999" w:right="907" w:firstLine="0"/>
        <w:jc w:val="left"/>
        <w:rPr>
          <w:sz w:val="22"/>
        </w:rPr>
      </w:pPr>
      <w:r>
        <w:rPr>
          <w:b/>
          <w:sz w:val="22"/>
        </w:rPr>
        <w:t>Smoke Management Approvals: </w:t>
      </w:r>
      <w:r>
        <w:rPr>
          <w:sz w:val="22"/>
        </w:rPr>
        <w:t>The smoke management coordinator approves all state silvicultural burns over 100-tons in Washington. Smoke management requests and approvals may be made via SMOKEM here: </w:t>
      </w:r>
      <w:hyperlink r:id="rId142">
        <w:r>
          <w:rPr>
            <w:color w:val="0000FF"/>
            <w:sz w:val="22"/>
            <w:u w:val="single" w:color="0000FF"/>
          </w:rPr>
          <w:t>https://fortress.wa.gov/dnr/protection/burnrequests/</w:t>
        </w:r>
      </w:hyperlink>
      <w:r>
        <w:rPr>
          <w:sz w:val="22"/>
        </w:rPr>
        <w:t>.</w:t>
      </w:r>
    </w:p>
    <w:p>
      <w:pPr>
        <w:pStyle w:val="BodyText"/>
        <w:spacing w:before="6"/>
        <w:rPr>
          <w:sz w:val="13"/>
        </w:rPr>
      </w:pPr>
    </w:p>
    <w:p>
      <w:pPr>
        <w:spacing w:before="94"/>
        <w:ind w:left="999" w:right="1186" w:firstLine="0"/>
        <w:jc w:val="left"/>
        <w:rPr>
          <w:sz w:val="22"/>
        </w:rPr>
      </w:pPr>
      <w:r>
        <w:rPr>
          <w:sz w:val="22"/>
        </w:rPr>
        <w:t>Our team, given enough notice, are available to support prescribed burns on-scene. We have a full complement of portable RAWS, handheld weather instruments, a remote observing system with a four camera payload, and an E-Sampler to provide continuous meteorological support for firefighter safety, satisfying burn plan objectives, or assessing air quality/smoke dispersion.</w:t>
      </w:r>
    </w:p>
    <w:p>
      <w:pPr>
        <w:pStyle w:val="BodyText"/>
        <w:spacing w:before="10"/>
        <w:rPr>
          <w:sz w:val="21"/>
        </w:rPr>
      </w:pPr>
    </w:p>
    <w:p>
      <w:pPr>
        <w:spacing w:before="0"/>
        <w:ind w:left="999" w:right="1175" w:firstLine="0"/>
        <w:jc w:val="left"/>
        <w:rPr>
          <w:sz w:val="22"/>
        </w:rPr>
      </w:pPr>
      <w:r>
        <w:rPr>
          <w:sz w:val="22"/>
          <w:u w:val="single"/>
        </w:rPr>
        <w:t>Note:</w:t>
      </w:r>
      <w:r>
        <w:rPr>
          <w:sz w:val="22"/>
        </w:rPr>
        <w:t> the current state smoke management plan is being rewritten this year, which may result in changes to DNR’s role in smoke management in 2019.</w:t>
      </w:r>
    </w:p>
    <w:p>
      <w:pPr>
        <w:pStyle w:val="BodyText"/>
        <w:spacing w:before="9"/>
        <w:rPr>
          <w:sz w:val="21"/>
        </w:rPr>
      </w:pPr>
    </w:p>
    <w:p>
      <w:pPr>
        <w:spacing w:line="242" w:lineRule="auto" w:before="0"/>
        <w:ind w:left="999" w:right="1139" w:firstLine="0"/>
        <w:jc w:val="left"/>
        <w:rPr>
          <w:sz w:val="22"/>
        </w:rPr>
      </w:pPr>
      <w:r>
        <w:rPr>
          <w:b/>
          <w:sz w:val="22"/>
        </w:rPr>
        <w:t>Fire Regulation and Fire Danger: </w:t>
      </w:r>
      <w:r>
        <w:rPr>
          <w:sz w:val="22"/>
        </w:rPr>
        <w:t>Our staff are available to provide interpretation and advice for industrial fire precaution levels, burn bans, staffing, NFDRS indices and other fire danger ratings. We represent the agency in</w:t>
      </w:r>
    </w:p>
    <w:p>
      <w:pPr>
        <w:pStyle w:val="BodyText"/>
        <w:spacing w:before="4"/>
        <w:rPr>
          <w:sz w:val="21"/>
        </w:rPr>
      </w:pPr>
    </w:p>
    <w:p>
      <w:pPr>
        <w:spacing w:before="0"/>
        <w:ind w:left="999" w:right="1382" w:firstLine="0"/>
        <w:jc w:val="left"/>
        <w:rPr>
          <w:sz w:val="22"/>
        </w:rPr>
      </w:pPr>
      <w:r>
        <w:rPr>
          <w:b/>
          <w:sz w:val="22"/>
        </w:rPr>
        <w:t>Fire Intelligence: </w:t>
      </w:r>
      <w:r>
        <w:rPr>
          <w:sz w:val="22"/>
        </w:rPr>
        <w:t>We provide agency fire statistics including fire business metrics, trend analysis of financial and environmental data, fire reports and investigation status, and asset tracking.</w:t>
      </w:r>
    </w:p>
    <w:p>
      <w:pPr>
        <w:pStyle w:val="BodyText"/>
        <w:spacing w:before="1"/>
        <w:rPr>
          <w:sz w:val="22"/>
        </w:rPr>
      </w:pPr>
    </w:p>
    <w:p>
      <w:pPr>
        <w:spacing w:before="0"/>
        <w:ind w:left="999" w:right="1578" w:hanging="1"/>
        <w:jc w:val="left"/>
        <w:rPr>
          <w:sz w:val="22"/>
        </w:rPr>
      </w:pPr>
      <w:r>
        <w:rPr>
          <w:b/>
          <w:sz w:val="22"/>
        </w:rPr>
        <w:t>GIS Analysis: </w:t>
      </w:r>
      <w:r>
        <w:rPr>
          <w:sz w:val="22"/>
        </w:rPr>
        <w:t>Our section has advanced capabilities in performing in-depth spatial data analysis, predictive analytics (including machine learning), and custom map generation to support situational awareness needs either internally or externally.</w:t>
      </w:r>
    </w:p>
    <w:p>
      <w:pPr>
        <w:pStyle w:val="BodyText"/>
        <w:spacing w:before="10"/>
        <w:rPr>
          <w:sz w:val="21"/>
        </w:rPr>
      </w:pPr>
    </w:p>
    <w:p>
      <w:pPr>
        <w:spacing w:line="240" w:lineRule="auto" w:before="0"/>
        <w:ind w:left="999" w:right="1162" w:firstLine="0"/>
        <w:jc w:val="left"/>
        <w:rPr>
          <w:sz w:val="22"/>
        </w:rPr>
      </w:pPr>
      <w:r>
        <w:rPr>
          <w:b/>
          <w:sz w:val="22"/>
        </w:rPr>
        <w:t>RAWS Management: </w:t>
      </w:r>
      <w:r>
        <w:rPr>
          <w:sz w:val="22"/>
        </w:rPr>
        <w:t>The Washington DNR currently maintains 31 RAWS (27 fixed and 4 portables), making it the fourth largest state fire weather network in the U.S. We pride ourselves in having one of the most dependable and accurate networks in the nation due to our consistent uptime and high maintenance standards. Six full-time radio technicians provide annual and emergency maintenance to the network and all DNR dispatch staff are trained to provide daily quality control of RAWS weather data using WIMS. For any issues with RAWS, please e-mail </w:t>
      </w:r>
      <w:hyperlink r:id="rId143">
        <w:r>
          <w:rPr>
            <w:color w:val="0000FF"/>
            <w:sz w:val="22"/>
            <w:u w:val="single" w:color="0000FF"/>
          </w:rPr>
          <w:t>DNRDLRPRAWS@dnr.wa.gov</w:t>
        </w:r>
        <w:r>
          <w:rPr>
            <w:color w:val="0000FF"/>
            <w:sz w:val="22"/>
          </w:rPr>
          <w:t> </w:t>
        </w:r>
      </w:hyperlink>
      <w:r>
        <w:rPr>
          <w:sz w:val="22"/>
        </w:rPr>
        <w:t>and the appropriate technician will reply shortly.</w:t>
      </w:r>
    </w:p>
    <w:p>
      <w:pPr>
        <w:pStyle w:val="BodyText"/>
        <w:spacing w:before="3"/>
        <w:rPr>
          <w:sz w:val="14"/>
        </w:rPr>
      </w:pPr>
    </w:p>
    <w:p>
      <w:pPr>
        <w:spacing w:before="94"/>
        <w:ind w:left="999" w:right="1554" w:firstLine="0"/>
        <w:jc w:val="left"/>
        <w:rPr>
          <w:sz w:val="22"/>
        </w:rPr>
      </w:pPr>
      <w:r>
        <w:rPr>
          <w:sz w:val="22"/>
        </w:rPr>
        <w:t>We provide status reports to interested RAWS data consumers in the event of an issue or maintenance outage. If you are interested in receiving this report, please e-</w:t>
      </w:r>
    </w:p>
    <w:p>
      <w:pPr>
        <w:spacing w:line="251" w:lineRule="exact" w:before="0"/>
        <w:ind w:left="999" w:right="0" w:firstLine="0"/>
        <w:jc w:val="left"/>
        <w:rPr>
          <w:sz w:val="22"/>
        </w:rPr>
      </w:pPr>
      <w:r>
        <w:rPr>
          <w:sz w:val="22"/>
        </w:rPr>
        <w:t>mail </w:t>
      </w:r>
      <w:hyperlink r:id="rId132">
        <w:r>
          <w:rPr>
            <w:color w:val="0000FF"/>
            <w:sz w:val="22"/>
            <w:u w:val="single" w:color="0000FF"/>
          </w:rPr>
          <w:t>josh.clark@dnr.wa.gov</w:t>
        </w:r>
        <w:r>
          <w:rPr>
            <w:sz w:val="22"/>
          </w:rPr>
          <w:t>.</w:t>
        </w:r>
      </w:hyperlink>
    </w:p>
    <w:p>
      <w:pPr>
        <w:pStyle w:val="BodyText"/>
        <w:spacing w:before="8"/>
        <w:rPr>
          <w:sz w:val="13"/>
        </w:rPr>
      </w:pPr>
    </w:p>
    <w:p>
      <w:pPr>
        <w:spacing w:line="242" w:lineRule="auto" w:before="93"/>
        <w:ind w:left="999" w:right="1520" w:hanging="1"/>
        <w:jc w:val="left"/>
        <w:rPr>
          <w:sz w:val="22"/>
        </w:rPr>
      </w:pPr>
      <w:r>
        <w:rPr>
          <w:b/>
          <w:sz w:val="22"/>
        </w:rPr>
        <w:t>Incident Support: </w:t>
      </w:r>
      <w:r>
        <w:rPr>
          <w:sz w:val="22"/>
        </w:rPr>
        <w:t>Staff in our section provide a variety of on-scene NWCG-certified capabilities. We currently have qualified personnel in the following positions: ARA, IMET, GISS, FFT2, FFT1, ICT5, ICT4, CRWB, ENGB, FAL1, FELB, FEMO, FIRB, FOBS, RXB3,</w:t>
      </w:r>
    </w:p>
    <w:p>
      <w:pPr>
        <w:spacing w:line="247" w:lineRule="exact" w:before="0"/>
        <w:ind w:left="999" w:right="0" w:firstLine="0"/>
        <w:jc w:val="left"/>
        <w:rPr>
          <w:sz w:val="22"/>
        </w:rPr>
      </w:pPr>
      <w:r>
        <w:rPr>
          <w:sz w:val="22"/>
        </w:rPr>
        <w:t>EMT, STCR, STEN, TFLD, RAWS maintenance (N-9035), and UAS operations (FAA sUAS).</w:t>
      </w:r>
    </w:p>
    <w:p>
      <w:pPr>
        <w:spacing w:after="0" w:line="247" w:lineRule="exact"/>
        <w:jc w:val="left"/>
        <w:rPr>
          <w:sz w:val="22"/>
        </w:rPr>
        <w:sectPr>
          <w:pgSz w:w="12240" w:h="15840"/>
          <w:pgMar w:header="0" w:footer="1048" w:top="1420" w:bottom="1240" w:left="340" w:right="620"/>
        </w:sectPr>
      </w:pPr>
    </w:p>
    <w:p>
      <w:pPr>
        <w:pStyle w:val="BodyText"/>
        <w:spacing w:before="4"/>
        <w:rPr>
          <w:sz w:val="13"/>
        </w:rPr>
      </w:pPr>
    </w:p>
    <w:p>
      <w:pPr>
        <w:spacing w:line="240" w:lineRule="auto" w:before="93"/>
        <w:ind w:left="999" w:right="1072" w:hanging="1"/>
        <w:jc w:val="left"/>
        <w:rPr>
          <w:sz w:val="22"/>
        </w:rPr>
      </w:pPr>
      <w:r>
        <w:rPr>
          <w:b/>
          <w:sz w:val="22"/>
        </w:rPr>
        <w:t>Seasonal Outlooks: </w:t>
      </w:r>
      <w:r>
        <w:rPr>
          <w:sz w:val="22"/>
        </w:rPr>
        <w:t>Beginning in April, the meteorologist provides a monthly outlook for Washington’s fire season. This outlook is normally published during the first week of the month and continues through October. Accompanying video or webinar style briefings are available as needed to any agency requesting one. Outlooks are also available to media or various communications staff. This product is carefully coordinated with our regional weather partners.</w:t>
      </w:r>
    </w:p>
    <w:p>
      <w:pPr>
        <w:pStyle w:val="BodyText"/>
        <w:spacing w:before="1"/>
        <w:rPr>
          <w:sz w:val="22"/>
        </w:rPr>
      </w:pPr>
    </w:p>
    <w:p>
      <w:pPr>
        <w:spacing w:before="0"/>
        <w:ind w:left="999" w:right="1445" w:firstLine="0"/>
        <w:jc w:val="left"/>
        <w:rPr>
          <w:sz w:val="22"/>
        </w:rPr>
      </w:pPr>
      <w:r>
        <w:rPr>
          <w:b/>
          <w:sz w:val="22"/>
        </w:rPr>
        <w:t>Fire Staff Training: </w:t>
      </w:r>
      <w:r>
        <w:rPr>
          <w:sz w:val="22"/>
        </w:rPr>
        <w:t>We provide support (either full course or individual units) for S-130, S- 190, S-290, and S-390. We are also available for RT-130s as needed.</w:t>
      </w:r>
    </w:p>
    <w:p>
      <w:pPr>
        <w:spacing w:after="0"/>
        <w:jc w:val="left"/>
        <w:rPr>
          <w:sz w:val="22"/>
        </w:rPr>
        <w:sectPr>
          <w:pgSz w:w="12240" w:h="15840"/>
          <w:pgMar w:header="0" w:footer="1048" w:top="1500" w:bottom="1240" w:left="340" w:right="620"/>
        </w:sectPr>
      </w:pPr>
    </w:p>
    <w:p>
      <w:pPr>
        <w:pStyle w:val="Heading1"/>
        <w:spacing w:before="58"/>
      </w:pPr>
      <w:bookmarkStart w:name="Appendices" w:id="141"/>
      <w:bookmarkEnd w:id="141"/>
      <w:r>
        <w:rPr>
          <w:b w:val="0"/>
        </w:rPr>
      </w:r>
      <w:r>
        <w:rPr>
          <w:color w:val="2C3D50"/>
        </w:rPr>
        <w:t>Appendices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2"/>
        </w:rPr>
      </w:pPr>
      <w:r>
        <w:rPr/>
        <w:drawing>
          <wp:anchor distT="0" distB="0" distL="0" distR="0" allowOverlap="1" layoutInCell="1" locked="0" behindDoc="0" simplePos="0" relativeHeight="2056">
            <wp:simplePos x="0" y="0"/>
            <wp:positionH relativeFrom="page">
              <wp:posOffset>1143000</wp:posOffset>
            </wp:positionH>
            <wp:positionV relativeFrom="paragraph">
              <wp:posOffset>119489</wp:posOffset>
            </wp:positionV>
            <wp:extent cx="5530586" cy="4149090"/>
            <wp:effectExtent l="0" t="0" r="0" b="0"/>
            <wp:wrapTopAndBottom/>
            <wp:docPr id="45" name="image22.jpeg" descr=""/>
            <wp:cNvGraphicFramePr>
              <a:graphicFrameLocks noChangeAspect="1"/>
            </wp:cNvGraphicFramePr>
            <a:graphic>
              <a:graphicData uri="http://schemas.openxmlformats.org/drawingml/2006/picture">
                <pic:pic>
                  <pic:nvPicPr>
                    <pic:cNvPr id="46" name="image22.jpeg"/>
                    <pic:cNvPicPr/>
                  </pic:nvPicPr>
                  <pic:blipFill>
                    <a:blip r:embed="rId144" cstate="print"/>
                    <a:stretch>
                      <a:fillRect/>
                    </a:stretch>
                  </pic:blipFill>
                  <pic:spPr>
                    <a:xfrm>
                      <a:off x="0" y="0"/>
                      <a:ext cx="5530586" cy="4149090"/>
                    </a:xfrm>
                    <a:prstGeom prst="rect">
                      <a:avLst/>
                    </a:prstGeom>
                  </pic:spPr>
                </pic:pic>
              </a:graphicData>
            </a:graphic>
          </wp:anchor>
        </w:drawing>
      </w:r>
    </w:p>
    <w:p>
      <w:pPr>
        <w:pStyle w:val="Heading8"/>
        <w:spacing w:before="162"/>
        <w:ind w:left="5244" w:right="1303" w:hanging="3648"/>
      </w:pPr>
      <w:bookmarkStart w:name="Picturesque Mt. Hood – Mt. Hood Complex " w:id="142"/>
      <w:bookmarkEnd w:id="142"/>
      <w:r>
        <w:rPr>
          <w:b w:val="0"/>
        </w:rPr>
      </w:r>
      <w:r>
        <w:rPr/>
        <w:t>Picturesque Mt. Hood – Mt. Hood Complex August, 2006 – Photo by Scott Weishaar</w:t>
      </w:r>
    </w:p>
    <w:p>
      <w:pPr>
        <w:spacing w:after="0"/>
        <w:sectPr>
          <w:pgSz w:w="12240" w:h="15840"/>
          <w:pgMar w:header="0" w:footer="1048" w:top="1440" w:bottom="1240" w:left="340" w:right="620"/>
        </w:sectPr>
      </w:pPr>
    </w:p>
    <w:p>
      <w:pPr>
        <w:spacing w:before="59"/>
        <w:ind w:left="1100" w:right="0" w:firstLine="0"/>
        <w:jc w:val="left"/>
        <w:rPr>
          <w:b/>
          <w:sz w:val="52"/>
        </w:rPr>
      </w:pPr>
      <w:r>
        <w:rPr>
          <w:b/>
          <w:sz w:val="52"/>
        </w:rPr>
        <w:t>APPENDIX A</w:t>
      </w:r>
    </w:p>
    <w:p>
      <w:pPr>
        <w:spacing w:before="272"/>
        <w:ind w:left="1100" w:right="0" w:firstLine="0"/>
        <w:jc w:val="left"/>
        <w:rPr>
          <w:b/>
          <w:sz w:val="24"/>
        </w:rPr>
      </w:pPr>
      <w:bookmarkStart w:name="Links to Fire Weather Agreements and Doc" w:id="143"/>
      <w:bookmarkEnd w:id="143"/>
      <w:r>
        <w:rPr/>
      </w:r>
      <w:r>
        <w:rPr>
          <w:b/>
          <w:sz w:val="24"/>
        </w:rPr>
        <w:t>Links to Fire Weather Agreements and Documents</w:t>
      </w:r>
    </w:p>
    <w:p>
      <w:pPr>
        <w:pStyle w:val="BodyText"/>
        <w:spacing w:before="9"/>
        <w:rPr>
          <w:b/>
          <w:sz w:val="23"/>
        </w:rPr>
      </w:pPr>
    </w:p>
    <w:p>
      <w:pPr>
        <w:spacing w:before="0"/>
        <w:ind w:left="1100" w:right="0" w:firstLine="0"/>
        <w:jc w:val="left"/>
        <w:rPr>
          <w:b/>
          <w:sz w:val="24"/>
        </w:rPr>
      </w:pPr>
      <w:r>
        <w:rPr>
          <w:b/>
          <w:sz w:val="24"/>
        </w:rPr>
        <w:t>Interagency Agreement for Meteorological Services and other Technical Services</w:t>
      </w:r>
    </w:p>
    <w:p>
      <w:pPr>
        <w:pStyle w:val="BodyText"/>
        <w:ind w:left="1820"/>
      </w:pPr>
      <w:hyperlink r:id="rId12">
        <w:r>
          <w:rPr>
            <w:color w:val="0462C1"/>
            <w:u w:val="single" w:color="0462C1"/>
          </w:rPr>
          <w:t>http://www.srh.noaa.gov/ridge2/fire/docs/2012_National_Agreement.pdf</w:t>
        </w:r>
      </w:hyperlink>
    </w:p>
    <w:p>
      <w:pPr>
        <w:pStyle w:val="BodyText"/>
        <w:spacing w:before="2"/>
        <w:rPr>
          <w:sz w:val="16"/>
        </w:rPr>
      </w:pPr>
    </w:p>
    <w:p>
      <w:pPr>
        <w:pStyle w:val="Heading8"/>
        <w:spacing w:before="93"/>
      </w:pPr>
      <w:bookmarkStart w:name="NWS Fire Weather Services Directives" w:id="144"/>
      <w:bookmarkEnd w:id="144"/>
      <w:r>
        <w:rPr>
          <w:b w:val="0"/>
        </w:rPr>
      </w:r>
      <w:r>
        <w:rPr/>
        <w:t>NWS Fire Weather Services Directives</w:t>
      </w:r>
    </w:p>
    <w:p>
      <w:pPr>
        <w:pStyle w:val="BodyText"/>
        <w:spacing w:line="307" w:lineRule="exact"/>
        <w:ind w:left="1460"/>
      </w:pPr>
      <w:r>
        <w:rPr>
          <w:rFonts w:ascii="Wingdings" w:hAnsi="Wingdings"/>
          <w:sz w:val="28"/>
        </w:rPr>
        <w:t></w:t>
      </w:r>
      <w:r>
        <w:rPr>
          <w:rFonts w:ascii="Times New Roman" w:hAnsi="Times New Roman"/>
          <w:sz w:val="28"/>
        </w:rPr>
        <w:t> </w:t>
      </w:r>
      <w:r>
        <w:rPr/>
        <w:t>Product Specifications (NWS Instruction 10-</w:t>
      </w:r>
    </w:p>
    <w:p>
      <w:pPr>
        <w:pStyle w:val="BodyText"/>
        <w:spacing w:line="271" w:lineRule="exact"/>
        <w:ind w:left="1820"/>
      </w:pPr>
      <w:r>
        <w:rPr/>
        <w:t>401)</w:t>
      </w:r>
      <w:r>
        <w:rPr>
          <w:color w:val="0462C1"/>
        </w:rPr>
        <w:t> </w:t>
      </w:r>
      <w:hyperlink r:id="rId18">
        <w:r>
          <w:rPr>
            <w:color w:val="0462C1"/>
            <w:u w:val="single" w:color="0462C1"/>
          </w:rPr>
          <w:t>http://www.weather.gov/directives/sym/pd01004001curr.pdf</w:t>
        </w:r>
      </w:hyperlink>
    </w:p>
    <w:p>
      <w:pPr>
        <w:pStyle w:val="BodyText"/>
        <w:spacing w:line="275" w:lineRule="exact"/>
        <w:ind w:left="1460"/>
      </w:pPr>
      <w:r>
        <w:rPr>
          <w:rFonts w:ascii="Wingdings" w:hAnsi="Wingdings"/>
        </w:rPr>
        <w:t></w:t>
      </w:r>
      <w:r>
        <w:rPr>
          <w:rFonts w:ascii="Times New Roman" w:hAnsi="Times New Roman"/>
        </w:rPr>
        <w:t> </w:t>
      </w:r>
      <w:r>
        <w:rPr/>
        <w:t>On-site Support (NWS Instruction 10-402)</w:t>
      </w:r>
    </w:p>
    <w:p>
      <w:pPr>
        <w:pStyle w:val="BodyText"/>
        <w:ind w:left="1860"/>
      </w:pPr>
      <w:r>
        <w:rPr>
          <w:color w:val="0462C1"/>
          <w:w w:val="100"/>
          <w:u w:val="single" w:color="0462C1"/>
        </w:rPr>
        <w:t> </w:t>
      </w:r>
      <w:hyperlink r:id="rId146">
        <w:r>
          <w:rPr>
            <w:color w:val="0462C1"/>
            <w:u w:val="single" w:color="0462C1"/>
          </w:rPr>
          <w:t>http://www.weather.gov/directives/sym/pd01004002curr.pdf</w:t>
        </w:r>
      </w:hyperlink>
    </w:p>
    <w:p>
      <w:pPr>
        <w:pStyle w:val="BodyText"/>
        <w:ind w:left="1460"/>
      </w:pPr>
      <w:r>
        <w:rPr>
          <w:rFonts w:ascii="Wingdings" w:hAnsi="Wingdings"/>
        </w:rPr>
        <w:t></w:t>
      </w:r>
      <w:r>
        <w:rPr>
          <w:rFonts w:ascii="Times New Roman" w:hAnsi="Times New Roman"/>
        </w:rPr>
        <w:t> </w:t>
      </w:r>
      <w:r>
        <w:rPr/>
        <w:t>Coordination and Outreach (NWS Instruction 10-</w:t>
      </w:r>
    </w:p>
    <w:p>
      <w:pPr>
        <w:pStyle w:val="BodyText"/>
        <w:ind w:left="1860"/>
      </w:pPr>
      <w:r>
        <w:rPr/>
        <w:t>403)</w:t>
      </w:r>
      <w:r>
        <w:rPr>
          <w:color w:val="0462C1"/>
        </w:rPr>
        <w:t> </w:t>
      </w:r>
      <w:hyperlink r:id="rId147">
        <w:r>
          <w:rPr>
            <w:color w:val="0462C1"/>
            <w:u w:val="single" w:color="0462C1"/>
          </w:rPr>
          <w:t>http://www.weather.gov/directives/sym/pd01004003curr.pdf</w:t>
        </w:r>
      </w:hyperlink>
    </w:p>
    <w:p>
      <w:pPr>
        <w:pStyle w:val="BodyText"/>
        <w:ind w:left="1460"/>
      </w:pPr>
      <w:r>
        <w:rPr>
          <w:rFonts w:ascii="Wingdings" w:hAnsi="Wingdings"/>
        </w:rPr>
        <w:t></w:t>
      </w:r>
      <w:r>
        <w:rPr>
          <w:rFonts w:ascii="Times New Roman" w:hAnsi="Times New Roman"/>
        </w:rPr>
        <w:t> </w:t>
      </w:r>
      <w:r>
        <w:rPr/>
        <w:t>Annual Operating Plan and Report (NWS Instruction 10-</w:t>
      </w:r>
    </w:p>
    <w:p>
      <w:pPr>
        <w:pStyle w:val="BodyText"/>
        <w:ind w:left="1860"/>
      </w:pPr>
      <w:r>
        <w:rPr/>
        <w:t>404)</w:t>
      </w:r>
      <w:r>
        <w:rPr>
          <w:color w:val="0462C1"/>
        </w:rPr>
        <w:t> </w:t>
      </w:r>
      <w:hyperlink r:id="rId148">
        <w:r>
          <w:rPr>
            <w:color w:val="0462C1"/>
            <w:u w:val="single" w:color="0462C1"/>
          </w:rPr>
          <w:t>http://www.weather.gov/directives/sym/pd01004004curr.pdf</w:t>
        </w:r>
      </w:hyperlink>
    </w:p>
    <w:p>
      <w:pPr>
        <w:pStyle w:val="BodyText"/>
        <w:ind w:left="1460"/>
      </w:pPr>
      <w:r>
        <w:rPr>
          <w:rFonts w:ascii="Wingdings" w:hAnsi="Wingdings"/>
        </w:rPr>
        <w:t></w:t>
      </w:r>
      <w:r>
        <w:rPr>
          <w:rFonts w:ascii="Times New Roman" w:hAnsi="Times New Roman"/>
        </w:rPr>
        <w:t> </w:t>
      </w:r>
      <w:r>
        <w:rPr/>
        <w:t>Training and Professional Development (NWS Instruction 10-</w:t>
      </w:r>
    </w:p>
    <w:p>
      <w:pPr>
        <w:pStyle w:val="BodyText"/>
        <w:ind w:left="1860"/>
      </w:pPr>
      <w:r>
        <w:rPr/>
        <w:t>405)</w:t>
      </w:r>
      <w:r>
        <w:rPr>
          <w:color w:val="0462C1"/>
        </w:rPr>
        <w:t> </w:t>
      </w:r>
      <w:hyperlink r:id="rId149">
        <w:r>
          <w:rPr>
            <w:color w:val="0462C1"/>
            <w:u w:val="single" w:color="0462C1"/>
          </w:rPr>
          <w:t>http://www.weather.gov/directives/sym/pd01004005curr.pdf</w:t>
        </w:r>
      </w:hyperlink>
    </w:p>
    <w:p>
      <w:pPr>
        <w:pStyle w:val="BodyText"/>
        <w:spacing w:line="307" w:lineRule="exact" w:before="2"/>
        <w:ind w:left="1460"/>
      </w:pPr>
      <w:r>
        <w:rPr>
          <w:rFonts w:ascii="Wingdings" w:hAnsi="Wingdings"/>
          <w:sz w:val="28"/>
        </w:rPr>
        <w:t></w:t>
      </w:r>
      <w:r>
        <w:rPr>
          <w:rFonts w:ascii="Times New Roman" w:hAnsi="Times New Roman"/>
          <w:sz w:val="28"/>
        </w:rPr>
        <w:t> </w:t>
      </w:r>
      <w:r>
        <w:rPr/>
        <w:t>Zone Change Process (NWS Instruction 10-</w:t>
      </w:r>
    </w:p>
    <w:p>
      <w:pPr>
        <w:pStyle w:val="BodyText"/>
        <w:spacing w:line="271" w:lineRule="exact"/>
        <w:ind w:left="1860"/>
      </w:pPr>
      <w:r>
        <w:rPr/>
        <w:t>407)</w:t>
      </w:r>
      <w:r>
        <w:rPr>
          <w:color w:val="0462C1"/>
        </w:rPr>
        <w:t> </w:t>
      </w:r>
      <w:hyperlink r:id="rId150">
        <w:r>
          <w:rPr>
            <w:color w:val="0462C1"/>
            <w:u w:val="single" w:color="0462C1"/>
          </w:rPr>
          <w:t>http://www.weather.gov/directives/sym/pd01004007curr.pdf</w:t>
        </w:r>
      </w:hyperlink>
    </w:p>
    <w:p>
      <w:pPr>
        <w:pStyle w:val="BodyText"/>
        <w:spacing w:line="235" w:lineRule="auto" w:before="4"/>
        <w:ind w:left="1820" w:right="1050" w:hanging="360"/>
      </w:pPr>
      <w:r>
        <w:rPr>
          <w:rFonts w:ascii="Wingdings" w:hAnsi="Wingdings"/>
          <w:sz w:val="28"/>
        </w:rPr>
        <w:t></w:t>
      </w:r>
      <w:r>
        <w:rPr>
          <w:rFonts w:ascii="Times New Roman" w:hAnsi="Times New Roman"/>
          <w:sz w:val="28"/>
        </w:rPr>
        <w:t> </w:t>
      </w:r>
      <w:r>
        <w:rPr/>
        <w:t>Western Region Forecast Office Fire Weather Services (WR Supplement to 10- 401)</w:t>
      </w:r>
    </w:p>
    <w:p>
      <w:pPr>
        <w:pStyle w:val="BodyText"/>
        <w:spacing w:line="275" w:lineRule="exact"/>
        <w:ind w:left="1796"/>
      </w:pPr>
      <w:hyperlink r:id="rId151">
        <w:r>
          <w:rPr>
            <w:color w:val="0462C1"/>
            <w:u w:val="single" w:color="0462C1"/>
          </w:rPr>
          <w:t>http://www.weather.gov/directives/sym/pd01004001w042005curr.pdf</w:t>
        </w:r>
      </w:hyperlink>
    </w:p>
    <w:p>
      <w:pPr>
        <w:pStyle w:val="BodyText"/>
        <w:spacing w:before="11"/>
        <w:rPr>
          <w:sz w:val="15"/>
        </w:rPr>
      </w:pPr>
    </w:p>
    <w:p>
      <w:pPr>
        <w:pStyle w:val="Heading8"/>
        <w:spacing w:line="275" w:lineRule="exact" w:before="92"/>
      </w:pPr>
      <w:bookmarkStart w:name="Electronic copy of the NWS D-1 spot fore" w:id="145"/>
      <w:bookmarkEnd w:id="145"/>
      <w:r>
        <w:rPr>
          <w:b w:val="0"/>
        </w:rPr>
      </w:r>
      <w:r>
        <w:rPr/>
        <w:t>Electronic copy of the NWS D-1 spot forecast request form</w:t>
      </w:r>
    </w:p>
    <w:p>
      <w:pPr>
        <w:pStyle w:val="BodyText"/>
        <w:spacing w:line="275" w:lineRule="exact"/>
        <w:ind w:left="1860"/>
      </w:pPr>
      <w:hyperlink r:id="rId152">
        <w:r>
          <w:rPr>
            <w:color w:val="0462C1"/>
            <w:u w:val="single" w:color="0462C1"/>
          </w:rPr>
          <w:t>http://www.wrh.noaa.gov/sew/D1_V2005.pdf</w:t>
        </w:r>
      </w:hyperlink>
    </w:p>
    <w:p>
      <w:pPr>
        <w:pStyle w:val="BodyText"/>
        <w:spacing w:before="2"/>
        <w:rPr>
          <w:sz w:val="16"/>
        </w:rPr>
      </w:pPr>
    </w:p>
    <w:p>
      <w:pPr>
        <w:pStyle w:val="Heading8"/>
        <w:spacing w:line="275" w:lineRule="exact" w:before="93"/>
      </w:pPr>
      <w:bookmarkStart w:name="National Mobilization Guide" w:id="146"/>
      <w:bookmarkEnd w:id="146"/>
      <w:r>
        <w:rPr>
          <w:b w:val="0"/>
        </w:rPr>
      </w:r>
      <w:r>
        <w:rPr/>
        <w:t>National Mobilization Guide</w:t>
      </w:r>
    </w:p>
    <w:p>
      <w:pPr>
        <w:pStyle w:val="BodyText"/>
        <w:spacing w:line="275" w:lineRule="exact"/>
        <w:ind w:left="1820"/>
      </w:pPr>
      <w:hyperlink r:id="rId153">
        <w:r>
          <w:rPr>
            <w:color w:val="0462C1"/>
            <w:u w:val="single" w:color="0462C1"/>
          </w:rPr>
          <w:t>http://www.nifc.gov/nicc/mobguide/index.html</w:t>
        </w:r>
      </w:hyperlink>
    </w:p>
    <w:p>
      <w:pPr>
        <w:pStyle w:val="BodyText"/>
        <w:spacing w:before="2"/>
        <w:rPr>
          <w:sz w:val="16"/>
        </w:rPr>
      </w:pPr>
    </w:p>
    <w:p>
      <w:pPr>
        <w:pStyle w:val="Heading8"/>
        <w:spacing w:line="275" w:lineRule="exact" w:before="92"/>
      </w:pPr>
      <w:bookmarkStart w:name="Northwest Interagency Mobilization Guide" w:id="147"/>
      <w:bookmarkEnd w:id="147"/>
      <w:r>
        <w:rPr>
          <w:b w:val="0"/>
        </w:rPr>
      </w:r>
      <w:r>
        <w:rPr/>
        <w:t>Northwest Interagency Mobilization Guide</w:t>
      </w:r>
    </w:p>
    <w:p>
      <w:pPr>
        <w:pStyle w:val="BodyText"/>
        <w:spacing w:line="275" w:lineRule="exact"/>
        <w:ind w:left="1860"/>
      </w:pPr>
      <w:hyperlink r:id="rId154">
        <w:r>
          <w:rPr>
            <w:color w:val="0462C1"/>
            <w:u w:val="single" w:color="0462C1"/>
          </w:rPr>
          <w:t>http://www.nwccweb.us/admin/publications.asp</w:t>
        </w:r>
      </w:hyperlink>
    </w:p>
    <w:p>
      <w:pPr>
        <w:pStyle w:val="BodyText"/>
        <w:spacing w:before="2"/>
        <w:rPr>
          <w:sz w:val="16"/>
        </w:rPr>
      </w:pPr>
    </w:p>
    <w:p>
      <w:pPr>
        <w:pStyle w:val="Heading8"/>
        <w:spacing w:line="275" w:lineRule="exact" w:before="93"/>
      </w:pPr>
      <w:bookmarkStart w:name="Link to Washington DNR Fire Information" w:id="148"/>
      <w:bookmarkEnd w:id="148"/>
      <w:r>
        <w:rPr>
          <w:b w:val="0"/>
        </w:rPr>
      </w:r>
      <w:r>
        <w:rPr/>
        <w:t>Link to Washington DNR Fire Information</w:t>
      </w:r>
    </w:p>
    <w:p>
      <w:pPr>
        <w:pStyle w:val="BodyText"/>
        <w:spacing w:line="275" w:lineRule="exact"/>
        <w:ind w:left="1820"/>
      </w:pPr>
      <w:hyperlink r:id="rId155">
        <w:r>
          <w:rPr>
            <w:color w:val="0462C1"/>
            <w:u w:val="single" w:color="0462C1"/>
          </w:rPr>
          <w:t>http://dnr.wa.gov/programs-and-services/wildfire-resources</w:t>
        </w:r>
      </w:hyperlink>
    </w:p>
    <w:p>
      <w:pPr>
        <w:spacing w:after="0" w:line="275" w:lineRule="exact"/>
        <w:sectPr>
          <w:footerReference w:type="default" r:id="rId145"/>
          <w:pgSz w:w="12240" w:h="15840"/>
          <w:pgMar w:footer="968" w:header="0" w:top="1380" w:bottom="1160" w:left="340" w:right="620"/>
          <w:pgNumType w:start="87"/>
        </w:sectPr>
      </w:pPr>
    </w:p>
    <w:p>
      <w:pPr>
        <w:spacing w:before="59"/>
        <w:ind w:left="1100" w:right="0" w:firstLine="0"/>
        <w:jc w:val="left"/>
        <w:rPr>
          <w:b/>
          <w:sz w:val="52"/>
        </w:rPr>
      </w:pPr>
      <w:bookmarkStart w:name="APPENDIX B" w:id="149"/>
      <w:bookmarkEnd w:id="149"/>
      <w:r>
        <w:rPr/>
      </w:r>
      <w:bookmarkStart w:name="_bookmark20" w:id="150"/>
      <w:bookmarkEnd w:id="150"/>
      <w:r>
        <w:rPr/>
      </w:r>
      <w:r>
        <w:rPr>
          <w:b/>
          <w:sz w:val="52"/>
        </w:rPr>
        <w:t>APPENDIX B</w:t>
      </w:r>
    </w:p>
    <w:p>
      <w:pPr>
        <w:pStyle w:val="Heading8"/>
        <w:spacing w:before="272"/>
      </w:pPr>
      <w:bookmarkStart w:name="Forecast and Service Performance Measure" w:id="151"/>
      <w:bookmarkEnd w:id="151"/>
      <w:r>
        <w:rPr>
          <w:b w:val="0"/>
        </w:rPr>
      </w:r>
      <w:r>
        <w:rPr/>
        <w:t>Forecast and Service Performance Measures</w:t>
      </w:r>
    </w:p>
    <w:p>
      <w:pPr>
        <w:pStyle w:val="BodyText"/>
        <w:rPr>
          <w:b/>
        </w:rPr>
      </w:pPr>
    </w:p>
    <w:p>
      <w:pPr>
        <w:pStyle w:val="ListParagraph"/>
        <w:numPr>
          <w:ilvl w:val="0"/>
          <w:numId w:val="20"/>
        </w:numPr>
        <w:tabs>
          <w:tab w:pos="1460" w:val="left" w:leader="none"/>
        </w:tabs>
        <w:spacing w:line="240" w:lineRule="auto" w:before="0" w:after="0"/>
        <w:ind w:left="1460" w:right="0" w:hanging="360"/>
        <w:jc w:val="left"/>
        <w:rPr>
          <w:b/>
          <w:sz w:val="24"/>
        </w:rPr>
      </w:pPr>
      <w:r>
        <w:rPr>
          <w:b/>
          <w:sz w:val="24"/>
        </w:rPr>
        <w:t>NFDRS Forecast Accuracy Performance</w:t>
      </w:r>
      <w:r>
        <w:rPr>
          <w:b/>
          <w:spacing w:val="-23"/>
          <w:sz w:val="24"/>
        </w:rPr>
        <w:t> </w:t>
      </w:r>
      <w:r>
        <w:rPr>
          <w:b/>
          <w:sz w:val="24"/>
        </w:rPr>
        <w:t>Measures</w:t>
      </w:r>
    </w:p>
    <w:p>
      <w:pPr>
        <w:pStyle w:val="BodyText"/>
        <w:spacing w:before="10"/>
        <w:rPr>
          <w:b/>
          <w:sz w:val="20"/>
        </w:rPr>
      </w:pPr>
    </w:p>
    <w:p>
      <w:pPr>
        <w:pStyle w:val="BodyText"/>
        <w:ind w:left="1460" w:right="1195"/>
      </w:pPr>
      <w:r>
        <w:rPr/>
        <w:t>The following performance measures are suggested as baseline standards for improvement over persistence forecasts on an annual basis for zone averages or key stations within a fire weather zone. The verification methodology will be consistent between all NWS offices (e.g. MAE, bias scores).</w:t>
      </w:r>
    </w:p>
    <w:p>
      <w:pPr>
        <w:pStyle w:val="BodyText"/>
      </w:pPr>
    </w:p>
    <w:p>
      <w:pPr>
        <w:pStyle w:val="BodyText"/>
        <w:tabs>
          <w:tab w:pos="4599" w:val="left" w:leader="none"/>
        </w:tabs>
        <w:ind w:left="2540" w:right="3449" w:firstLine="1776"/>
      </w:pPr>
      <w:r>
        <w:rPr/>
        <w:t>Suggested Annual Baseline Goals</w:t>
      </w:r>
      <w:r>
        <w:rPr>
          <w:spacing w:val="-4"/>
        </w:rPr>
        <w:t> </w:t>
      </w:r>
      <w:r>
        <w:rPr>
          <w:u w:val="single"/>
        </w:rPr>
        <w:t>Parameter</w:t>
      </w:r>
      <w:r>
        <w:rPr/>
        <w:tab/>
      </w:r>
      <w:r>
        <w:rPr>
          <w:u w:val="single"/>
        </w:rPr>
        <w:t>Improvement over persistence</w:t>
      </w:r>
      <w:r>
        <w:rPr/>
        <w:t> </w:t>
      </w:r>
      <w:r>
        <w:rPr>
          <w:u w:val="single"/>
        </w:rPr>
        <w:t>forecast</w:t>
      </w:r>
    </w:p>
    <w:p>
      <w:pPr>
        <w:pStyle w:val="BodyText"/>
        <w:spacing w:before="8"/>
      </w:pPr>
    </w:p>
    <w:tbl>
      <w:tblPr>
        <w:tblW w:w="0" w:type="auto"/>
        <w:jc w:val="left"/>
        <w:tblInd w:w="2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09"/>
        <w:gridCol w:w="1159"/>
      </w:tblGrid>
      <w:tr>
        <w:trPr>
          <w:trHeight w:val="273" w:hRule="atLeast"/>
        </w:trPr>
        <w:tc>
          <w:tcPr>
            <w:tcW w:w="2609" w:type="dxa"/>
          </w:tcPr>
          <w:p>
            <w:pPr>
              <w:pStyle w:val="TableParagraph"/>
              <w:spacing w:line="253" w:lineRule="exact"/>
              <w:ind w:left="200"/>
              <w:rPr>
                <w:sz w:val="24"/>
              </w:rPr>
            </w:pPr>
            <w:r>
              <w:rPr>
                <w:sz w:val="24"/>
              </w:rPr>
              <w:t>Temperature:</w:t>
            </w:r>
          </w:p>
        </w:tc>
        <w:tc>
          <w:tcPr>
            <w:tcW w:w="1159" w:type="dxa"/>
          </w:tcPr>
          <w:p>
            <w:pPr>
              <w:pStyle w:val="TableParagraph"/>
              <w:spacing w:line="253" w:lineRule="exact"/>
              <w:ind w:right="198"/>
              <w:jc w:val="right"/>
              <w:rPr>
                <w:sz w:val="24"/>
              </w:rPr>
            </w:pPr>
            <w:r>
              <w:rPr>
                <w:w w:val="95"/>
                <w:sz w:val="24"/>
              </w:rPr>
              <w:t>35%</w:t>
            </w:r>
          </w:p>
        </w:tc>
      </w:tr>
      <w:tr>
        <w:trPr>
          <w:trHeight w:val="277" w:hRule="atLeast"/>
        </w:trPr>
        <w:tc>
          <w:tcPr>
            <w:tcW w:w="2609" w:type="dxa"/>
          </w:tcPr>
          <w:p>
            <w:pPr>
              <w:pStyle w:val="TableParagraph"/>
              <w:spacing w:line="257" w:lineRule="exact"/>
              <w:ind w:left="200"/>
              <w:rPr>
                <w:sz w:val="24"/>
              </w:rPr>
            </w:pPr>
            <w:r>
              <w:rPr>
                <w:sz w:val="24"/>
              </w:rPr>
              <w:t>Relative Humidity:</w:t>
            </w:r>
          </w:p>
        </w:tc>
        <w:tc>
          <w:tcPr>
            <w:tcW w:w="1159" w:type="dxa"/>
          </w:tcPr>
          <w:p>
            <w:pPr>
              <w:pStyle w:val="TableParagraph"/>
              <w:spacing w:line="257" w:lineRule="exact"/>
              <w:ind w:right="197"/>
              <w:jc w:val="right"/>
              <w:rPr>
                <w:sz w:val="24"/>
              </w:rPr>
            </w:pPr>
            <w:r>
              <w:rPr>
                <w:w w:val="90"/>
                <w:sz w:val="24"/>
              </w:rPr>
              <w:t>25%</w:t>
            </w:r>
          </w:p>
        </w:tc>
      </w:tr>
      <w:tr>
        <w:trPr>
          <w:trHeight w:val="272" w:hRule="atLeast"/>
        </w:trPr>
        <w:tc>
          <w:tcPr>
            <w:tcW w:w="2609" w:type="dxa"/>
          </w:tcPr>
          <w:p>
            <w:pPr>
              <w:pStyle w:val="TableParagraph"/>
              <w:spacing w:line="252" w:lineRule="exact"/>
              <w:ind w:left="200"/>
              <w:rPr>
                <w:sz w:val="24"/>
              </w:rPr>
            </w:pPr>
            <w:r>
              <w:rPr>
                <w:sz w:val="24"/>
              </w:rPr>
              <w:t>Wind speed:</w:t>
            </w:r>
          </w:p>
        </w:tc>
        <w:tc>
          <w:tcPr>
            <w:tcW w:w="1159" w:type="dxa"/>
          </w:tcPr>
          <w:p>
            <w:pPr>
              <w:pStyle w:val="TableParagraph"/>
              <w:spacing w:line="252" w:lineRule="exact"/>
              <w:ind w:right="197"/>
              <w:jc w:val="right"/>
              <w:rPr>
                <w:sz w:val="24"/>
              </w:rPr>
            </w:pPr>
            <w:r>
              <w:rPr>
                <w:w w:val="90"/>
                <w:sz w:val="24"/>
              </w:rPr>
              <w:t>10%</w:t>
            </w:r>
          </w:p>
        </w:tc>
      </w:tr>
    </w:tbl>
    <w:p>
      <w:pPr>
        <w:pStyle w:val="BodyText"/>
        <w:spacing w:before="9"/>
        <w:rPr>
          <w:sz w:val="23"/>
        </w:rPr>
      </w:pPr>
    </w:p>
    <w:p>
      <w:pPr>
        <w:pStyle w:val="BodyText"/>
        <w:ind w:left="1460" w:right="1215"/>
      </w:pPr>
      <w:r>
        <w:rPr/>
        <w:t>Wetting Rain: A "yes" or "no" field, correct 80% of the time as verified by the PD1 and PD2 forecast forecasts in NFDRS.</w:t>
      </w:r>
    </w:p>
    <w:p>
      <w:pPr>
        <w:pStyle w:val="BodyText"/>
      </w:pPr>
    </w:p>
    <w:p>
      <w:pPr>
        <w:pStyle w:val="BodyText"/>
        <w:ind w:left="1460" w:right="835"/>
      </w:pPr>
      <w:r>
        <w:rPr/>
        <w:t>Lightning: A “yes” or “no” field, correct 70% of the time as verified by the LAL forecast. For verification purposes, an LAL forecast of 2 or more will be considered a “yes.” This verification effort will be a collaborative effort between NWCC and NWS.</w:t>
      </w:r>
    </w:p>
    <w:p>
      <w:pPr>
        <w:pStyle w:val="BodyText"/>
        <w:spacing w:before="9"/>
        <w:rPr>
          <w:sz w:val="23"/>
        </w:rPr>
      </w:pPr>
    </w:p>
    <w:p>
      <w:pPr>
        <w:pStyle w:val="Heading8"/>
        <w:numPr>
          <w:ilvl w:val="0"/>
          <w:numId w:val="20"/>
        </w:numPr>
        <w:tabs>
          <w:tab w:pos="1472" w:val="left" w:leader="none"/>
        </w:tabs>
        <w:spacing w:line="240" w:lineRule="auto" w:before="0" w:after="0"/>
        <w:ind w:left="1472" w:right="0" w:hanging="372"/>
        <w:jc w:val="left"/>
      </w:pPr>
      <w:bookmarkStart w:name="B. Spot Forecasts for Wildfires, Prescri" w:id="152"/>
      <w:bookmarkEnd w:id="152"/>
      <w:r>
        <w:rPr>
          <w:b w:val="0"/>
        </w:rPr>
      </w:r>
      <w:bookmarkStart w:name="B. Spot Forecasts for Wildfires, Prescri" w:id="153"/>
      <w:bookmarkEnd w:id="153"/>
      <w:r>
        <w:rPr/>
        <w:t>S</w:t>
      </w:r>
      <w:r>
        <w:rPr/>
        <w:t>pot Forecasts for Wildfires, Prescribed Fires and other</w:t>
      </w:r>
      <w:r>
        <w:rPr>
          <w:spacing w:val="-36"/>
        </w:rPr>
        <w:t> </w:t>
      </w:r>
      <w:r>
        <w:rPr/>
        <w:t>activities</w:t>
      </w:r>
    </w:p>
    <w:p>
      <w:pPr>
        <w:pStyle w:val="BodyText"/>
        <w:spacing w:before="9"/>
        <w:rPr>
          <w:b/>
          <w:sz w:val="23"/>
        </w:rPr>
      </w:pPr>
    </w:p>
    <w:p>
      <w:pPr>
        <w:pStyle w:val="BodyText"/>
        <w:tabs>
          <w:tab w:pos="3113" w:val="left" w:leader="none"/>
        </w:tabs>
        <w:ind w:left="1460" w:right="877"/>
      </w:pPr>
      <w:r>
        <w:rPr/>
        <w:t>Spot Forecast verification will be based on </w:t>
      </w:r>
      <w:r>
        <w:rPr>
          <w:u w:val="single"/>
        </w:rPr>
        <w:t>relevant</w:t>
      </w:r>
      <w:r>
        <w:rPr/>
        <w:t> agency provided observations at the fire site (e.g. a forecast for a 7 p.m. temperature must be validated by a 7 p.m. observation.)</w:t>
        <w:tab/>
        <w:t>Suggested verification criteria are as</w:t>
      </w:r>
      <w:r>
        <w:rPr>
          <w:spacing w:val="-20"/>
        </w:rPr>
        <w:t> </w:t>
      </w:r>
      <w:r>
        <w:rPr/>
        <w:t>follows:</w:t>
      </w:r>
    </w:p>
    <w:p>
      <w:pPr>
        <w:pStyle w:val="BodyText"/>
      </w:pPr>
    </w:p>
    <w:p>
      <w:pPr>
        <w:pStyle w:val="BodyText"/>
        <w:tabs>
          <w:tab w:pos="4649" w:val="left" w:leader="none"/>
        </w:tabs>
        <w:ind w:left="2540" w:right="3492"/>
      </w:pPr>
      <w:r>
        <w:rPr/>
        <w:t>Temperature:</w:t>
        <w:tab/>
        <w:t>MAE &lt;=5 degrees</w:t>
      </w:r>
      <w:r>
        <w:rPr>
          <w:spacing w:val="-26"/>
        </w:rPr>
        <w:t> </w:t>
      </w:r>
      <w:r>
        <w:rPr/>
        <w:t>Fahrenheit Relative Humidity: MAE of following</w:t>
      </w:r>
      <w:r>
        <w:rPr>
          <w:spacing w:val="-18"/>
        </w:rPr>
        <w:t> </w:t>
      </w:r>
      <w:r>
        <w:rPr/>
        <w:t>values:</w:t>
      </w:r>
    </w:p>
    <w:p>
      <w:pPr>
        <w:pStyle w:val="BodyText"/>
        <w:tabs>
          <w:tab w:pos="2443" w:val="left" w:leader="none"/>
        </w:tabs>
        <w:ind w:left="1694"/>
        <w:jc w:val="center"/>
      </w:pPr>
      <w:r>
        <w:rPr/>
        <w:t>RH</w:t>
        <w:tab/>
        <w:t>30%:  &lt;=</w:t>
      </w:r>
      <w:r>
        <w:rPr>
          <w:spacing w:val="5"/>
        </w:rPr>
        <w:t> </w:t>
      </w:r>
      <w:r>
        <w:rPr/>
        <w:t>4%</w:t>
      </w:r>
    </w:p>
    <w:p>
      <w:pPr>
        <w:pStyle w:val="BodyText"/>
        <w:ind w:left="1696"/>
        <w:jc w:val="center"/>
      </w:pPr>
      <w:r>
        <w:rPr/>
        <w:t>RH 30-50%:  &lt;= 7%</w:t>
      </w:r>
    </w:p>
    <w:p>
      <w:pPr>
        <w:pStyle w:val="BodyText"/>
        <w:tabs>
          <w:tab w:pos="2307" w:val="left" w:leader="none"/>
        </w:tabs>
        <w:ind w:left="1760"/>
        <w:jc w:val="center"/>
      </w:pPr>
      <w:r>
        <w:rPr/>
        <w:t>RH</w:t>
        <w:tab/>
        <w:t>&gt; 50%:</w:t>
      </w:r>
      <w:r>
        <w:rPr>
          <w:spacing w:val="65"/>
        </w:rPr>
        <w:t> </w:t>
      </w:r>
      <w:r>
        <w:rPr/>
        <w:t>&lt;=10%</w:t>
      </w:r>
    </w:p>
    <w:p>
      <w:pPr>
        <w:pStyle w:val="BodyText"/>
        <w:tabs>
          <w:tab w:pos="4582" w:val="left" w:leader="none"/>
        </w:tabs>
        <w:ind w:left="2540"/>
      </w:pPr>
      <w:r>
        <w:rPr/>
        <w:t>Wind</w:t>
      </w:r>
      <w:r>
        <w:rPr>
          <w:spacing w:val="-5"/>
        </w:rPr>
        <w:t> </w:t>
      </w:r>
      <w:r>
        <w:rPr/>
        <w:t>Speed:</w:t>
        <w:tab/>
        <w:t>MAE &lt;= 3mph for user defined measurement</w:t>
      </w:r>
      <w:r>
        <w:rPr>
          <w:spacing w:val="-34"/>
        </w:rPr>
        <w:t> </w:t>
      </w:r>
      <w:r>
        <w:rPr/>
        <w:t>height</w:t>
      </w:r>
    </w:p>
    <w:p>
      <w:pPr>
        <w:pStyle w:val="BodyText"/>
        <w:ind w:left="1659"/>
        <w:jc w:val="center"/>
      </w:pPr>
      <w:r>
        <w:rPr/>
        <w:t>(20 foot wind or eye-level).</w:t>
      </w:r>
    </w:p>
    <w:p>
      <w:pPr>
        <w:pStyle w:val="BodyText"/>
        <w:spacing w:before="3"/>
      </w:pPr>
    </w:p>
    <w:p>
      <w:pPr>
        <w:pStyle w:val="Heading8"/>
        <w:numPr>
          <w:ilvl w:val="0"/>
          <w:numId w:val="20"/>
        </w:numPr>
        <w:tabs>
          <w:tab w:pos="1472" w:val="left" w:leader="none"/>
        </w:tabs>
        <w:spacing w:line="240" w:lineRule="auto" w:before="0" w:after="0"/>
        <w:ind w:left="1472" w:right="0" w:hanging="372"/>
        <w:jc w:val="left"/>
      </w:pPr>
      <w:bookmarkStart w:name="C. Red Flag Warning and Fire Weather Wat" w:id="154"/>
      <w:bookmarkEnd w:id="154"/>
      <w:r>
        <w:rPr>
          <w:b w:val="0"/>
        </w:rPr>
      </w:r>
      <w:bookmarkStart w:name="C. Red Flag Warning and Fire Weather Wat" w:id="155"/>
      <w:bookmarkEnd w:id="155"/>
      <w:r>
        <w:rPr/>
        <w:t>R</w:t>
      </w:r>
      <w:r>
        <w:rPr/>
        <w:t>ed Flag Warning and Fire Weather</w:t>
      </w:r>
      <w:r>
        <w:rPr>
          <w:spacing w:val="-20"/>
        </w:rPr>
        <w:t> </w:t>
      </w:r>
      <w:r>
        <w:rPr/>
        <w:t>Watch</w:t>
      </w:r>
    </w:p>
    <w:p>
      <w:pPr>
        <w:pStyle w:val="BodyText"/>
        <w:spacing w:before="9"/>
        <w:rPr>
          <w:b/>
          <w:sz w:val="23"/>
        </w:rPr>
      </w:pPr>
    </w:p>
    <w:p>
      <w:pPr>
        <w:pStyle w:val="BodyText"/>
        <w:tabs>
          <w:tab w:pos="3459" w:val="left" w:leader="none"/>
        </w:tabs>
        <w:ind w:left="1819" w:right="876"/>
      </w:pPr>
      <w:r>
        <w:rPr/>
        <w:t>Red</w:t>
      </w:r>
      <w:r>
        <w:rPr>
          <w:spacing w:val="-2"/>
        </w:rPr>
        <w:t> </w:t>
      </w:r>
      <w:r>
        <w:rPr/>
        <w:t>Flag</w:t>
      </w:r>
      <w:r>
        <w:rPr>
          <w:spacing w:val="-8"/>
        </w:rPr>
        <w:t> </w:t>
      </w:r>
      <w:r>
        <w:rPr/>
        <w:t>Warnings</w:t>
      </w:r>
      <w:r>
        <w:rPr>
          <w:spacing w:val="-3"/>
        </w:rPr>
        <w:t> </w:t>
      </w:r>
      <w:r>
        <w:rPr/>
        <w:t>and</w:t>
      </w:r>
      <w:r>
        <w:rPr>
          <w:spacing w:val="-2"/>
        </w:rPr>
        <w:t> </w:t>
      </w:r>
      <w:r>
        <w:rPr/>
        <w:t>Fire</w:t>
      </w:r>
      <w:r>
        <w:rPr>
          <w:spacing w:val="-7"/>
        </w:rPr>
        <w:t> </w:t>
      </w:r>
      <w:r>
        <w:rPr/>
        <w:t>Weather</w:t>
      </w:r>
      <w:r>
        <w:rPr>
          <w:spacing w:val="-7"/>
        </w:rPr>
        <w:t> </w:t>
      </w:r>
      <w:r>
        <w:rPr/>
        <w:t>Watches</w:t>
      </w:r>
      <w:r>
        <w:rPr>
          <w:spacing w:val="-3"/>
        </w:rPr>
        <w:t> </w:t>
      </w:r>
      <w:r>
        <w:rPr/>
        <w:t>will</w:t>
      </w:r>
      <w:r>
        <w:rPr>
          <w:spacing w:val="-3"/>
        </w:rPr>
        <w:t> </w:t>
      </w:r>
      <w:r>
        <w:rPr/>
        <w:t>be</w:t>
      </w:r>
      <w:r>
        <w:rPr>
          <w:spacing w:val="-2"/>
        </w:rPr>
        <w:t> </w:t>
      </w:r>
      <w:r>
        <w:rPr/>
        <w:t>verified</w:t>
      </w:r>
      <w:r>
        <w:rPr>
          <w:spacing w:val="-2"/>
        </w:rPr>
        <w:t> </w:t>
      </w:r>
      <w:r>
        <w:rPr/>
        <w:t>in</w:t>
      </w:r>
      <w:r>
        <w:rPr>
          <w:spacing w:val="-2"/>
        </w:rPr>
        <w:t> </w:t>
      </w:r>
      <w:r>
        <w:rPr/>
        <w:t>accordance</w:t>
      </w:r>
      <w:r>
        <w:rPr>
          <w:spacing w:val="-25"/>
        </w:rPr>
        <w:t> </w:t>
      </w:r>
      <w:r>
        <w:rPr/>
        <w:t>with NWSI</w:t>
      </w:r>
      <w:r>
        <w:rPr>
          <w:spacing w:val="-4"/>
        </w:rPr>
        <w:t> </w:t>
      </w:r>
      <w:r>
        <w:rPr/>
        <w:t>10-401</w:t>
        <w:tab/>
      </w:r>
      <w:hyperlink r:id="rId18">
        <w:r>
          <w:rPr>
            <w:color w:val="0462C1"/>
            <w:u w:val="single" w:color="0462C1"/>
          </w:rPr>
          <w:t>http://www.weather.gov/directives/sym/pd01004001curr.pdf </w:t>
        </w:r>
      </w:hyperlink>
      <w:r>
        <w:rPr>
          <w:color w:val="0462C1"/>
          <w:u w:val="single" w:color="0462C1"/>
        </w:rPr>
        <w:t>and</w:t>
      </w:r>
      <w:r>
        <w:rPr>
          <w:color w:val="0462C1"/>
        </w:rPr>
        <w:t> </w:t>
      </w:r>
      <w:r>
        <w:rPr/>
        <w:t>10-401 </w:t>
      </w:r>
      <w:r>
        <w:rPr>
          <w:spacing w:val="5"/>
        </w:rPr>
        <w:t>WR</w:t>
      </w:r>
      <w:r>
        <w:rPr>
          <w:spacing w:val="-24"/>
        </w:rPr>
        <w:t> </w:t>
      </w:r>
      <w:r>
        <w:rPr/>
        <w:t>Supplement.</w:t>
      </w:r>
    </w:p>
    <w:p>
      <w:pPr>
        <w:spacing w:after="0"/>
        <w:sectPr>
          <w:pgSz w:w="12240" w:h="15840"/>
          <w:pgMar w:header="0" w:footer="968" w:top="1380" w:bottom="1240" w:left="340" w:right="620"/>
        </w:sectPr>
      </w:pPr>
    </w:p>
    <w:p>
      <w:pPr>
        <w:pStyle w:val="BodyText"/>
        <w:spacing w:line="237" w:lineRule="auto" w:before="78"/>
        <w:ind w:left="1887" w:right="2103" w:hanging="68"/>
      </w:pPr>
      <w:r>
        <w:rPr/>
        <w:pict>
          <v:rect style="position:absolute;margin-left:108pt;margin-top:30.042322pt;width:3.36pt;height:.841pt;mso-position-horizontal-relative:page;mso-position-vertical-relative:paragraph;z-index:2080" filled="true" fillcolor="#0462c1" stroked="false">
            <v:fill type="solid"/>
            <w10:wrap type="none"/>
          </v:rect>
        </w:pict>
      </w:r>
      <w:hyperlink r:id="rId151">
        <w:r>
          <w:rPr>
            <w:color w:val="0462C1"/>
            <w:u w:val="single" w:color="0462C1"/>
          </w:rPr>
          <w:t>http://www.weather.gov/directives/sym/pd01004001w042005curr.pdf</w:t>
        </w:r>
      </w:hyperlink>
      <w:r>
        <w:rPr>
          <w:color w:val="0462C1"/>
          <w:u w:val="single" w:color="0462C1"/>
        </w:rPr>
        <w:t>.</w:t>
      </w:r>
      <w:r>
        <w:rPr>
          <w:color w:val="0462C1"/>
        </w:rPr>
        <w:t> </w:t>
      </w:r>
      <w:r>
        <w:rPr/>
        <w:t>Verification statistics will be included in the Annual Report.</w:t>
      </w:r>
    </w:p>
    <w:p>
      <w:pPr>
        <w:spacing w:after="0" w:line="237" w:lineRule="auto"/>
        <w:sectPr>
          <w:pgSz w:w="12240" w:h="15840"/>
          <w:pgMar w:header="0" w:footer="968" w:top="1360" w:bottom="1240" w:left="340" w:right="620"/>
        </w:sectPr>
      </w:pPr>
    </w:p>
    <w:p>
      <w:pPr>
        <w:pStyle w:val="Heading2"/>
      </w:pPr>
      <w:bookmarkStart w:name="APPENDIX C" w:id="156"/>
      <w:bookmarkEnd w:id="156"/>
      <w:r>
        <w:rPr>
          <w:b w:val="0"/>
        </w:rPr>
      </w:r>
      <w:bookmarkStart w:name="_bookmark21" w:id="157"/>
      <w:bookmarkEnd w:id="157"/>
      <w:r>
        <w:rPr>
          <w:b w:val="0"/>
        </w:rPr>
      </w:r>
      <w:r>
        <w:rPr/>
        <w:t>APPENDIX C</w:t>
      </w:r>
    </w:p>
    <w:p>
      <w:pPr>
        <w:pStyle w:val="Heading8"/>
        <w:spacing w:before="272"/>
      </w:pPr>
      <w:bookmarkStart w:name="Reimbursement for NWS-Provided Training" w:id="158"/>
      <w:bookmarkEnd w:id="158"/>
      <w:r>
        <w:rPr>
          <w:b w:val="0"/>
        </w:rPr>
      </w:r>
      <w:r>
        <w:rPr/>
        <w:t>Reimbursement for NWS-Provided Training</w:t>
      </w:r>
    </w:p>
    <w:p>
      <w:pPr>
        <w:pStyle w:val="BodyText"/>
        <w:spacing w:before="9"/>
        <w:rPr>
          <w:b/>
          <w:sz w:val="23"/>
        </w:rPr>
      </w:pPr>
    </w:p>
    <w:p>
      <w:pPr>
        <w:pStyle w:val="BodyText"/>
        <w:ind w:left="1099" w:right="946"/>
        <w:jc w:val="both"/>
      </w:pPr>
      <w:r>
        <w:rPr/>
        <w:t>IMETs and other NWS staff are frequently requested to provide fire weather training for fire crews as part of such interagency fire behavior courses as S190 and S290. Policy guidelines for fulfilling these requests are outlined in NWSI 10-403.</w:t>
      </w:r>
    </w:p>
    <w:p>
      <w:pPr>
        <w:pStyle w:val="BodyText"/>
      </w:pPr>
    </w:p>
    <w:p>
      <w:pPr>
        <w:pStyle w:val="BodyText"/>
        <w:ind w:left="1099" w:right="1026"/>
        <w:jc w:val="both"/>
      </w:pPr>
      <w:r>
        <w:rPr/>
        <w:t>Requests for training by NWS personnel are not made using resource orders. Rather, both the USDA Forest Service and Department of Interior utilize training request forms that can be used by the NWS to obtain reimbursement for travel costs associated with the provision of weather training. The USDA Forest Service uses Form AD-672.</w:t>
      </w:r>
    </w:p>
    <w:p>
      <w:pPr>
        <w:pStyle w:val="BodyText"/>
      </w:pPr>
    </w:p>
    <w:p>
      <w:pPr>
        <w:pStyle w:val="BodyText"/>
        <w:ind w:left="1100" w:right="928"/>
      </w:pPr>
      <w:r>
        <w:rPr/>
        <w:t>The Department of Interior does not have a single, standard form. However, a template Form 1681-3 is available that can be presented to the DOI requestor. It is the responsibility of the requesting agency to provide an appropriate agreement document for training.</w:t>
      </w:r>
    </w:p>
    <w:p>
      <w:pPr>
        <w:pStyle w:val="BodyText"/>
      </w:pPr>
    </w:p>
    <w:p>
      <w:pPr>
        <w:pStyle w:val="BodyText"/>
        <w:spacing w:before="1"/>
        <w:ind w:left="1099" w:right="889"/>
      </w:pPr>
      <w:r>
        <w:rPr/>
        <w:t>If the request for training comes via a state agency, the NWS must use a NOAA General Counsel template. Training requests from California, Oregon and Washington do</w:t>
      </w:r>
      <w:r>
        <w:rPr>
          <w:spacing w:val="-1"/>
        </w:rPr>
        <w:t> </w:t>
      </w:r>
      <w:r>
        <w:rPr/>
        <w:t>not</w:t>
      </w:r>
      <w:r>
        <w:rPr>
          <w:spacing w:val="-4"/>
        </w:rPr>
        <w:t> </w:t>
      </w:r>
      <w:r>
        <w:rPr/>
        <w:t>need</w:t>
      </w:r>
      <w:r>
        <w:rPr>
          <w:spacing w:val="-1"/>
        </w:rPr>
        <w:t> </w:t>
      </w:r>
      <w:r>
        <w:rPr/>
        <w:t>to</w:t>
      </w:r>
      <w:r>
        <w:rPr>
          <w:spacing w:val="-3"/>
        </w:rPr>
        <w:t> </w:t>
      </w:r>
      <w:r>
        <w:rPr/>
        <w:t>use</w:t>
      </w:r>
      <w:r>
        <w:rPr>
          <w:spacing w:val="-3"/>
        </w:rPr>
        <w:t> </w:t>
      </w:r>
      <w:r>
        <w:rPr/>
        <w:t>this</w:t>
      </w:r>
      <w:r>
        <w:rPr>
          <w:spacing w:val="-4"/>
        </w:rPr>
        <w:t> </w:t>
      </w:r>
      <w:r>
        <w:rPr/>
        <w:t>form</w:t>
      </w:r>
      <w:r>
        <w:rPr>
          <w:spacing w:val="-3"/>
        </w:rPr>
        <w:t> </w:t>
      </w:r>
      <w:r>
        <w:rPr/>
        <w:t>as</w:t>
      </w:r>
      <w:r>
        <w:rPr>
          <w:spacing w:val="-2"/>
        </w:rPr>
        <w:t> </w:t>
      </w:r>
      <w:r>
        <w:rPr/>
        <w:t>their</w:t>
      </w:r>
      <w:r>
        <w:rPr>
          <w:spacing w:val="-3"/>
        </w:rPr>
        <w:t> </w:t>
      </w:r>
      <w:r>
        <w:rPr/>
        <w:t>requests</w:t>
      </w:r>
      <w:r>
        <w:rPr>
          <w:spacing w:val="-4"/>
        </w:rPr>
        <w:t> </w:t>
      </w:r>
      <w:r>
        <w:rPr/>
        <w:t>are</w:t>
      </w:r>
      <w:r>
        <w:rPr>
          <w:spacing w:val="-1"/>
        </w:rPr>
        <w:t> </w:t>
      </w:r>
      <w:r>
        <w:rPr/>
        <w:t>covered</w:t>
      </w:r>
      <w:r>
        <w:rPr>
          <w:spacing w:val="-1"/>
        </w:rPr>
        <w:t> </w:t>
      </w:r>
      <w:r>
        <w:rPr/>
        <w:t>by</w:t>
      </w:r>
      <w:r>
        <w:rPr>
          <w:spacing w:val="-4"/>
        </w:rPr>
        <w:t> </w:t>
      </w:r>
      <w:r>
        <w:rPr/>
        <w:t>the</w:t>
      </w:r>
      <w:r>
        <w:rPr>
          <w:spacing w:val="-1"/>
        </w:rPr>
        <w:t> </w:t>
      </w:r>
      <w:r>
        <w:rPr/>
        <w:t>same</w:t>
      </w:r>
      <w:r>
        <w:rPr>
          <w:spacing w:val="-3"/>
        </w:rPr>
        <w:t> </w:t>
      </w:r>
      <w:r>
        <w:rPr/>
        <w:t>agreement</w:t>
      </w:r>
      <w:r>
        <w:rPr>
          <w:spacing w:val="-36"/>
        </w:rPr>
        <w:t> </w:t>
      </w:r>
      <w:r>
        <w:rPr/>
        <w:t>used for IMET dispatches for those</w:t>
      </w:r>
      <w:r>
        <w:rPr>
          <w:spacing w:val="-14"/>
        </w:rPr>
        <w:t> </w:t>
      </w:r>
      <w:r>
        <w:rPr/>
        <w:t>states.</w:t>
      </w:r>
    </w:p>
    <w:p>
      <w:pPr>
        <w:pStyle w:val="BodyText"/>
        <w:spacing w:before="9"/>
        <w:rPr>
          <w:sz w:val="23"/>
        </w:rPr>
      </w:pPr>
    </w:p>
    <w:p>
      <w:pPr>
        <w:pStyle w:val="BodyText"/>
        <w:ind w:left="1100" w:right="1429"/>
        <w:jc w:val="both"/>
      </w:pPr>
      <w:r>
        <w:rPr/>
        <w:t>There are no standard forms for gaining travel expense reimbursements from local agencies or colleges. Requesting agencies should pre-pay all travel expenses for instructors who must travel to the course, or at least cover lodging costs.</w:t>
      </w:r>
    </w:p>
    <w:p>
      <w:pPr>
        <w:pStyle w:val="BodyText"/>
      </w:pPr>
    </w:p>
    <w:p>
      <w:pPr>
        <w:spacing w:before="0"/>
        <w:ind w:left="1100" w:right="837" w:firstLine="0"/>
        <w:jc w:val="left"/>
        <w:rPr>
          <w:b/>
          <w:sz w:val="24"/>
        </w:rPr>
      </w:pPr>
      <w:r>
        <w:rPr>
          <w:sz w:val="24"/>
        </w:rPr>
        <w:t>A secondary, more cumbersome option is for requesting agencies to reimburse the NWS by writing a check to the U.S. Department of Commerce for the amount of the travel voucher. If this is done however, the WFO must attach a “Gifts and Bequeaths Form” to the voucher prior to submission to their Finance Office. </w:t>
      </w:r>
      <w:r>
        <w:rPr>
          <w:b/>
          <w:sz w:val="24"/>
        </w:rPr>
        <w:t>Under no circumstances can the requesting entity personally reimburse the NWS instructor for travel costs.</w:t>
      </w:r>
    </w:p>
    <w:p>
      <w:pPr>
        <w:spacing w:after="0"/>
        <w:jc w:val="left"/>
        <w:rPr>
          <w:sz w:val="24"/>
        </w:rPr>
        <w:sectPr>
          <w:pgSz w:w="12240" w:h="15840"/>
          <w:pgMar w:header="0" w:footer="968" w:top="1380" w:bottom="1240" w:left="340" w:right="620"/>
        </w:sectPr>
      </w:pPr>
    </w:p>
    <w:p>
      <w:pPr>
        <w:pStyle w:val="Heading2"/>
        <w:ind w:left="1167"/>
      </w:pPr>
      <w:bookmarkStart w:name="APPENDIX D" w:id="159"/>
      <w:bookmarkEnd w:id="159"/>
      <w:r>
        <w:rPr>
          <w:b w:val="0"/>
        </w:rPr>
      </w:r>
      <w:bookmarkStart w:name="_bookmark22" w:id="160"/>
      <w:bookmarkEnd w:id="160"/>
      <w:r>
        <w:rPr>
          <w:b w:val="0"/>
        </w:rPr>
      </w:r>
      <w:r>
        <w:rPr/>
        <w:t>APPENDIX D</w:t>
      </w:r>
    </w:p>
    <w:p>
      <w:pPr>
        <w:pStyle w:val="Heading8"/>
        <w:spacing w:before="272"/>
      </w:pPr>
      <w:bookmarkStart w:name="Incident Meteorologist Billing Points of" w:id="161"/>
      <w:bookmarkEnd w:id="161"/>
      <w:r>
        <w:rPr>
          <w:b w:val="0"/>
        </w:rPr>
      </w:r>
      <w:r>
        <w:rPr/>
        <w:t>Incident Meteorologist Billing Points of Contact for Washington and Oregon</w:t>
      </w:r>
    </w:p>
    <w:p>
      <w:pPr>
        <w:pStyle w:val="BodyText"/>
        <w:rPr>
          <w:b/>
          <w:sz w:val="26"/>
        </w:rPr>
      </w:pPr>
    </w:p>
    <w:p>
      <w:pPr>
        <w:pStyle w:val="BodyText"/>
        <w:spacing w:before="9"/>
        <w:rPr>
          <w:b/>
          <w:sz w:val="21"/>
        </w:rPr>
      </w:pPr>
    </w:p>
    <w:p>
      <w:pPr>
        <w:spacing w:before="0"/>
        <w:ind w:left="1100" w:right="0" w:firstLine="0"/>
        <w:jc w:val="left"/>
        <w:rPr>
          <w:b/>
          <w:sz w:val="24"/>
        </w:rPr>
      </w:pPr>
      <w:r>
        <w:rPr>
          <w:b/>
          <w:sz w:val="24"/>
        </w:rPr>
        <w:t>USDA Forest Service:</w:t>
      </w:r>
    </w:p>
    <w:p>
      <w:pPr>
        <w:pStyle w:val="BodyText"/>
        <w:ind w:left="1100"/>
      </w:pPr>
      <w:r>
        <w:rPr/>
        <w:t>Elizabeth Martin</w:t>
      </w:r>
    </w:p>
    <w:p>
      <w:pPr>
        <w:pStyle w:val="BodyText"/>
        <w:ind w:left="1100" w:right="5864"/>
      </w:pPr>
      <w:r>
        <w:rPr/>
        <w:t>USDA Forest Service; Incident Business 101B Sun Avenue NW</w:t>
      </w:r>
    </w:p>
    <w:p>
      <w:pPr>
        <w:pStyle w:val="BodyText"/>
        <w:ind w:left="1100"/>
      </w:pPr>
      <w:r>
        <w:rPr/>
        <w:t>Albuquerque, NM 87109</w:t>
      </w:r>
    </w:p>
    <w:p>
      <w:pPr>
        <w:pStyle w:val="BodyText"/>
      </w:pPr>
    </w:p>
    <w:p>
      <w:pPr>
        <w:pStyle w:val="Heading8"/>
        <w:ind w:left="1099" w:right="931"/>
      </w:pPr>
      <w:bookmarkStart w:name="National Park Service, US Fish and Wildl" w:id="162"/>
      <w:bookmarkEnd w:id="162"/>
      <w:r>
        <w:rPr>
          <w:b w:val="0"/>
        </w:rPr>
      </w:r>
      <w:r>
        <w:rPr/>
        <w:t>National Park Service, US Fish and Wildlife Service, Bureau of Indian Affairs, and Bureau of Land Management</w:t>
      </w:r>
    </w:p>
    <w:p>
      <w:pPr>
        <w:pStyle w:val="BodyText"/>
        <w:ind w:left="1100"/>
      </w:pPr>
      <w:r>
        <w:rPr/>
        <w:t>David R. Burley</w:t>
      </w:r>
    </w:p>
    <w:p>
      <w:pPr>
        <w:pStyle w:val="BodyText"/>
        <w:ind w:left="1099" w:right="6692"/>
      </w:pPr>
      <w:r>
        <w:rPr/>
        <w:t>BLM, Incident Business Lead National Interagency Fire Center 3833 S. Development Avenue Boise, ID 83705</w:t>
      </w:r>
    </w:p>
    <w:p>
      <w:pPr>
        <w:spacing w:after="0"/>
        <w:sectPr>
          <w:pgSz w:w="12240" w:h="15840"/>
          <w:pgMar w:header="0" w:footer="968" w:top="1380" w:bottom="1240" w:left="340" w:right="620"/>
        </w:sectPr>
      </w:pPr>
    </w:p>
    <w:p>
      <w:pPr>
        <w:pStyle w:val="Heading2"/>
      </w:pPr>
      <w:bookmarkStart w:name="APPENDIX E" w:id="163"/>
      <w:bookmarkEnd w:id="163"/>
      <w:r>
        <w:rPr>
          <w:b w:val="0"/>
        </w:rPr>
      </w:r>
      <w:bookmarkStart w:name="_bookmark23" w:id="164"/>
      <w:bookmarkEnd w:id="164"/>
      <w:r>
        <w:rPr>
          <w:b w:val="0"/>
        </w:rPr>
      </w:r>
      <w:r>
        <w:rPr/>
        <w:t>APPENDIX E</w:t>
      </w:r>
    </w:p>
    <w:p>
      <w:pPr>
        <w:pStyle w:val="Heading8"/>
        <w:spacing w:before="286"/>
      </w:pPr>
      <w:bookmarkStart w:name="Spot Forecast Request Form D-1" w:id="165"/>
      <w:bookmarkEnd w:id="165"/>
      <w:r>
        <w:rPr>
          <w:b w:val="0"/>
        </w:rPr>
      </w:r>
      <w:r>
        <w:rPr/>
        <w:t>Spot Forecast Request Form D-1</w:t>
      </w:r>
    </w:p>
    <w:p>
      <w:pPr>
        <w:pStyle w:val="BodyText"/>
        <w:rPr>
          <w:b/>
          <w:sz w:val="20"/>
        </w:rPr>
      </w:pPr>
    </w:p>
    <w:p>
      <w:pPr>
        <w:pStyle w:val="BodyText"/>
        <w:spacing w:before="9"/>
        <w:rPr>
          <w:b/>
          <w:sz w:val="17"/>
        </w:rPr>
      </w:pPr>
      <w:r>
        <w:rPr/>
        <w:drawing>
          <wp:anchor distT="0" distB="0" distL="0" distR="0" allowOverlap="1" layoutInCell="1" locked="0" behindDoc="0" simplePos="0" relativeHeight="2104">
            <wp:simplePos x="0" y="0"/>
            <wp:positionH relativeFrom="page">
              <wp:posOffset>1024176</wp:posOffset>
            </wp:positionH>
            <wp:positionV relativeFrom="paragraph">
              <wp:posOffset>155244</wp:posOffset>
            </wp:positionV>
            <wp:extent cx="5016480" cy="6697218"/>
            <wp:effectExtent l="0" t="0" r="0" b="0"/>
            <wp:wrapTopAndBottom/>
            <wp:docPr id="47" name="image23.jpeg" descr=""/>
            <wp:cNvGraphicFramePr>
              <a:graphicFrameLocks noChangeAspect="1"/>
            </wp:cNvGraphicFramePr>
            <a:graphic>
              <a:graphicData uri="http://schemas.openxmlformats.org/drawingml/2006/picture">
                <pic:pic>
                  <pic:nvPicPr>
                    <pic:cNvPr id="48" name="image23.jpeg"/>
                    <pic:cNvPicPr/>
                  </pic:nvPicPr>
                  <pic:blipFill>
                    <a:blip r:embed="rId156" cstate="print"/>
                    <a:stretch>
                      <a:fillRect/>
                    </a:stretch>
                  </pic:blipFill>
                  <pic:spPr>
                    <a:xfrm>
                      <a:off x="0" y="0"/>
                      <a:ext cx="5016480" cy="6697218"/>
                    </a:xfrm>
                    <a:prstGeom prst="rect">
                      <a:avLst/>
                    </a:prstGeom>
                  </pic:spPr>
                </pic:pic>
              </a:graphicData>
            </a:graphic>
          </wp:anchor>
        </w:drawing>
      </w:r>
    </w:p>
    <w:p>
      <w:pPr>
        <w:spacing w:after="0"/>
        <w:rPr>
          <w:sz w:val="17"/>
        </w:rPr>
        <w:sectPr>
          <w:pgSz w:w="12240" w:h="15840"/>
          <w:pgMar w:header="0" w:footer="968" w:top="1380" w:bottom="1240" w:left="340" w:right="620"/>
        </w:sectPr>
      </w:pPr>
    </w:p>
    <w:p>
      <w:pPr>
        <w:pStyle w:val="BodyText"/>
        <w:spacing w:before="7"/>
        <w:rPr>
          <w:rFonts w:ascii="Times New Roman"/>
          <w:sz w:val="20"/>
        </w:rPr>
      </w:pPr>
    </w:p>
    <w:p>
      <w:pPr>
        <w:pStyle w:val="BodyText"/>
        <w:ind w:left="1608"/>
        <w:rPr>
          <w:rFonts w:ascii="Times New Roman"/>
          <w:sz w:val="20"/>
        </w:rPr>
      </w:pPr>
      <w:r>
        <w:rPr>
          <w:rFonts w:ascii="Times New Roman"/>
          <w:sz w:val="20"/>
        </w:rPr>
        <w:drawing>
          <wp:inline distT="0" distB="0" distL="0" distR="0">
            <wp:extent cx="5333158" cy="4902612"/>
            <wp:effectExtent l="0" t="0" r="0" b="0"/>
            <wp:docPr id="49" name="image24.png" descr=""/>
            <wp:cNvGraphicFramePr>
              <a:graphicFrameLocks noChangeAspect="1"/>
            </wp:cNvGraphicFramePr>
            <a:graphic>
              <a:graphicData uri="http://schemas.openxmlformats.org/drawingml/2006/picture">
                <pic:pic>
                  <pic:nvPicPr>
                    <pic:cNvPr id="50" name="image24.png"/>
                    <pic:cNvPicPr/>
                  </pic:nvPicPr>
                  <pic:blipFill>
                    <a:blip r:embed="rId157" cstate="print"/>
                    <a:stretch>
                      <a:fillRect/>
                    </a:stretch>
                  </pic:blipFill>
                  <pic:spPr>
                    <a:xfrm>
                      <a:off x="0" y="0"/>
                      <a:ext cx="5333158" cy="490261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968" w:top="1500" w:bottom="1160" w:left="340" w:right="620"/>
        </w:sectPr>
      </w:pPr>
    </w:p>
    <w:p>
      <w:pPr>
        <w:spacing w:before="59"/>
        <w:ind w:left="1100" w:right="0" w:firstLine="0"/>
        <w:jc w:val="left"/>
        <w:rPr>
          <w:b/>
          <w:sz w:val="52"/>
        </w:rPr>
      </w:pPr>
      <w:bookmarkStart w:name="APPENDIX F" w:id="166"/>
      <w:bookmarkEnd w:id="166"/>
      <w:r>
        <w:rPr/>
      </w:r>
      <w:bookmarkStart w:name="_bookmark24" w:id="167"/>
      <w:bookmarkEnd w:id="167"/>
      <w:r>
        <w:rPr/>
      </w:r>
      <w:r>
        <w:rPr>
          <w:b/>
          <w:sz w:val="52"/>
        </w:rPr>
        <w:t>APPENDIX F</w:t>
      </w:r>
    </w:p>
    <w:p>
      <w:pPr>
        <w:spacing w:before="272"/>
        <w:ind w:left="1100" w:right="0" w:firstLine="0"/>
        <w:jc w:val="left"/>
        <w:rPr>
          <w:b/>
          <w:sz w:val="24"/>
        </w:rPr>
      </w:pPr>
      <w:bookmarkStart w:name="Hysplit Request Instructions" w:id="168"/>
      <w:bookmarkEnd w:id="168"/>
      <w:r>
        <w:rPr/>
      </w:r>
      <w:r>
        <w:rPr>
          <w:b/>
          <w:sz w:val="24"/>
        </w:rPr>
        <w:t>Hysplit Request Instructions</w:t>
      </w:r>
    </w:p>
    <w:p>
      <w:pPr>
        <w:pStyle w:val="BodyText"/>
        <w:spacing w:before="9"/>
        <w:rPr>
          <w:b/>
          <w:sz w:val="23"/>
        </w:rPr>
      </w:pPr>
    </w:p>
    <w:p>
      <w:pPr>
        <w:pStyle w:val="BodyText"/>
        <w:ind w:left="1100" w:right="1088"/>
      </w:pPr>
      <w:r>
        <w:rPr/>
        <w:t>HYSPLIT is a model which determines trajectories for parcels at a given height above ground level. An easy method has been developed to take advantage of the base information that is already input into the spot request form to generate automated HYSPLIT Trajectory forecasts. The HYSPLIT trajectories can be used for many purposes (i.e. HAZMAT, smoke, etc.).</w:t>
      </w:r>
    </w:p>
    <w:p>
      <w:pPr>
        <w:pStyle w:val="BodyText"/>
      </w:pPr>
    </w:p>
    <w:p>
      <w:pPr>
        <w:pStyle w:val="BodyText"/>
        <w:ind w:left="1100" w:right="901"/>
      </w:pPr>
      <w:r>
        <w:rPr/>
        <w:t>The HYSPLIT output represents computer model forecasts without any human interaction. They do not take into account information on burn size or fuels, thus generate trajectory forecasts for 500, 1500, and 3000 meters AGL without regarding for whether the fire plume height will reach those altitudes.</w:t>
      </w:r>
    </w:p>
    <w:p>
      <w:pPr>
        <w:pStyle w:val="BodyText"/>
      </w:pPr>
    </w:p>
    <w:p>
      <w:pPr>
        <w:pStyle w:val="BodyText"/>
        <w:ind w:left="1100" w:right="1449"/>
      </w:pPr>
      <w:r>
        <w:rPr/>
        <w:t>To utilize this feature, simply add the word Hysplit with your email address into the remarks section of a spot request:</w:t>
      </w:r>
    </w:p>
    <w:p>
      <w:pPr>
        <w:pStyle w:val="BodyText"/>
        <w:spacing w:before="9"/>
        <w:rPr>
          <w:sz w:val="23"/>
        </w:rPr>
      </w:pPr>
    </w:p>
    <w:p>
      <w:pPr>
        <w:pStyle w:val="BodyText"/>
        <w:spacing w:line="480" w:lineRule="auto" w:before="1"/>
        <w:ind w:left="1100" w:right="5301"/>
      </w:pPr>
      <w:r>
        <w:rPr/>
        <w:t>Example: Hysplit to </w:t>
      </w:r>
      <w:hyperlink r:id="rId158">
        <w:r>
          <w:rPr/>
          <w:t>very.windy@web.address</w:t>
        </w:r>
      </w:hyperlink>
      <w:r>
        <w:rPr/>
        <w:t> Any email address works.</w:t>
      </w:r>
    </w:p>
    <w:p>
      <w:pPr>
        <w:pStyle w:val="BodyText"/>
        <w:spacing w:before="12"/>
        <w:ind w:left="1100" w:right="928"/>
      </w:pPr>
      <w:r>
        <w:rPr/>
        <w:t>It is recommended that you try this procedure and get a feel for its content before using it for actual guidance on a burn or fire. For more information, please</w:t>
      </w:r>
    </w:p>
    <w:p>
      <w:pPr>
        <w:pStyle w:val="BodyText"/>
        <w:ind w:left="1100" w:right="942"/>
      </w:pPr>
      <w:r>
        <w:rPr/>
        <w:t>visit </w:t>
      </w:r>
      <w:hyperlink r:id="rId159">
        <w:r>
          <w:rPr>
            <w:color w:val="0462C1"/>
            <w:u w:val="single" w:color="0462C1"/>
          </w:rPr>
          <w:t>http://www.srh.noaa.gov/ridge2/fire/docs/HYSPLITone-pager_final_woSMEs.docx</w:t>
        </w:r>
      </w:hyperlink>
      <w:r>
        <w:rPr/>
        <w:t>. If you have any questions, please contact your local fire weather program leader.</w:t>
      </w:r>
    </w:p>
    <w:p>
      <w:pPr>
        <w:spacing w:after="0"/>
        <w:sectPr>
          <w:pgSz w:w="12240" w:h="15840"/>
          <w:pgMar w:header="0" w:footer="968" w:top="1380" w:bottom="1160" w:left="340" w:right="620"/>
        </w:sectPr>
      </w:pPr>
    </w:p>
    <w:p>
      <w:pPr>
        <w:pStyle w:val="BodyText"/>
        <w:spacing w:before="4"/>
        <w:rPr>
          <w:rFonts w:ascii="Times New Roman"/>
          <w:sz w:val="17"/>
        </w:rPr>
      </w:pPr>
      <w:r>
        <w:rPr/>
        <w:pict>
          <v:rect style="position:absolute;margin-left:.949pt;margin-top:0pt;width:609.65pt;height:791.05pt;mso-position-horizontal-relative:page;mso-position-vertical-relative:page;z-index:-239152" filled="true" fillcolor="#2c3d50" stroked="false">
            <v:fill type="solid"/>
            <w10:wrap type="none"/>
          </v:rect>
        </w:pict>
      </w:r>
    </w:p>
    <w:sectPr>
      <w:pgSz w:w="12240" w:h="15840"/>
      <w:pgMar w:header="0" w:footer="968" w:top="1500" w:bottom="1180" w:left="34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Century Gothic">
    <w:altName w:val="Century Gothic"/>
    <w:charset w:val="0"/>
    <w:family w:val="swiss"/>
    <w:pitch w:val="variable"/>
  </w:font>
  <w:font w:name="Calibri">
    <w:altName w:val="Calibri"/>
    <w:charset w:val="0"/>
    <w:family w:val="swiss"/>
    <w:pitch w:val="variable"/>
  </w:font>
  <w:font w:name="Symbol">
    <w:altName w:val="Symbol"/>
    <w:charset w:val="2"/>
    <w:family w:val="roman"/>
    <w:pitch w:val="variable"/>
  </w:font>
  <w:font w:name="Wingdings">
    <w:altName w:val="Wingdings"/>
    <w:charset w:val="2"/>
    <w:family w:val="auto"/>
    <w:pitch w:val="variable"/>
  </w:font>
  <w:font w:name="MS PGothic">
    <w:altName w:val="MS PGothi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7.880005pt;margin-top:728.599976pt;width:16.4pt;height:14pt;mso-position-horizontal-relative:page;mso-position-vertical-relative:page;z-index:-240256"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97.880005pt;margin-top:728.599976pt;width:16.4pt;height:14pt;mso-position-horizontal-relative:page;mso-position-vertical-relative:page;z-index:-240040" type="#_x0000_t202" filled="false" stroked="false">
          <v:textbox inset="0,0,0,0">
            <w:txbxContent>
              <w:p>
                <w:pPr>
                  <w:pStyle w:val="BodyText"/>
                  <w:spacing w:line="264" w:lineRule="exact"/>
                  <w:ind w:left="42"/>
                  <w:rPr>
                    <w:rFonts w:ascii="Calibri"/>
                  </w:rPr>
                </w:pPr>
                <w:r>
                  <w:rPr/>
                  <w:fldChar w:fldCharType="begin"/>
                </w:r>
                <w:r>
                  <w:rPr>
                    <w:rFonts w:ascii="Calibri"/>
                  </w:rPr>
                  <w:instrText> PAGE </w:instrText>
                </w:r>
                <w:r>
                  <w:rPr/>
                  <w:fldChar w:fldCharType="separate"/>
                </w:r>
                <w:r>
                  <w:rPr/>
                  <w:t>54</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pt;margin-top:728.599976pt;width:16.25pt;height:14pt;mso-position-horizontal-relative:page;mso-position-vertical-relative:page;z-index:-240016"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68</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98pt;margin-top:728.599976pt;width:16.25pt;height:14pt;mso-position-horizontal-relative:page;mso-position-vertical-relative:page;z-index:-239992"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75</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98pt;margin-top:728.599976pt;width:16.25pt;height:14pt;mso-position-horizontal-relative:page;mso-position-vertical-relative:page;z-index:-239968"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80</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pt;margin-top:728.599976pt;width:16.25pt;height:14pt;mso-position-horizontal-relative:page;mso-position-vertical-relative:page;z-index:-239944"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79</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pt;margin-top:728.599976pt;width:14.25pt;height:14pt;mso-position-horizontal-relative:page;mso-position-vertical-relative:page;z-index:-239920" type="#_x0000_t202" filled="false" stroked="false">
          <v:textbox inset="0,0,0,0">
            <w:txbxContent>
              <w:p>
                <w:pPr>
                  <w:pStyle w:val="BodyText"/>
                  <w:spacing w:line="264" w:lineRule="exact"/>
                  <w:ind w:left="20"/>
                  <w:rPr>
                    <w:rFonts w:ascii="Calibri"/>
                  </w:rPr>
                </w:pPr>
                <w:r>
                  <w:rPr>
                    <w:rFonts w:ascii="Calibri"/>
                  </w:rPr>
                  <w:t>80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pt;margin-top:728.599976pt;width:14.25pt;height:14pt;mso-position-horizontal-relative:page;mso-position-vertical-relative:page;z-index:-239896" type="#_x0000_t202" filled="false" stroked="false">
          <v:textbox inset="0,0,0,0">
            <w:txbxContent>
              <w:p>
                <w:pPr>
                  <w:pStyle w:val="BodyText"/>
                  <w:spacing w:line="264" w:lineRule="exact"/>
                  <w:ind w:left="20"/>
                  <w:rPr>
                    <w:rFonts w:ascii="Calibri"/>
                  </w:rPr>
                </w:pPr>
                <w:r>
                  <w:rPr>
                    <w:rFonts w:ascii="Calibri"/>
                  </w:rPr>
                  <w:t>81</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pt;margin-top:728.599976pt;width:16.25pt;height:14pt;mso-position-horizontal-relative:page;mso-position-vertical-relative:page;z-index:-239872"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86</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97.880005pt;margin-top:728pt;width:16.4pt;height:14.6pt;mso-position-horizontal-relative:page;mso-position-vertical-relative:page;z-index:-239848" type="#_x0000_t202" filled="false" stroked="false">
          <v:textbox inset="0,0,0,0">
            <w:txbxContent>
              <w:p>
                <w:pPr>
                  <w:pStyle w:val="BodyText"/>
                  <w:spacing w:line="276" w:lineRule="exact"/>
                  <w:ind w:left="42"/>
                  <w:rPr>
                    <w:rFonts w:ascii="Calibri"/>
                  </w:rPr>
                </w:pPr>
                <w:r>
                  <w:rPr/>
                  <w:fldChar w:fldCharType="begin"/>
                </w:r>
                <w:r>
                  <w:rPr>
                    <w:rFonts w:ascii="Calibri"/>
                  </w:rPr>
                  <w:instrText> PAGE </w:instrText>
                </w:r>
                <w:r>
                  <w:rPr/>
                  <w:fldChar w:fldCharType="separate"/>
                </w:r>
                <w:r>
                  <w:rPr/>
                  <w:t>93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298.880005pt;margin-top:728.599976pt;width:14.25pt;height:14pt;mso-position-horizontal-relative:page;mso-position-vertical-relative:page;z-index:-240232" type="#_x0000_t202" filled="false" stroked="false">
          <v:textbox inset="0,0,0,0">
            <w:txbxContent>
              <w:p>
                <w:pPr>
                  <w:pStyle w:val="BodyText"/>
                  <w:spacing w:line="264" w:lineRule="exact"/>
                  <w:ind w:left="20"/>
                  <w:rPr>
                    <w:rFonts w:ascii="Calibri"/>
                  </w:rPr>
                </w:pPr>
                <w:r>
                  <w:rPr>
                    <w:rFonts w:ascii="Calibri"/>
                  </w:rPr>
                  <w:t>20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pt;margin-top:728.599976pt;width:16.25pt;height:14pt;mso-position-horizontal-relative:page;mso-position-vertical-relative:page;z-index:-240208"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24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pt;margin-top:728.599976pt;width:14.25pt;height:14pt;mso-position-horizontal-relative:page;mso-position-vertical-relative:page;z-index:-240184" type="#_x0000_t202" filled="false" stroked="false">
          <v:textbox inset="0,0,0,0">
            <w:txbxContent>
              <w:p>
                <w:pPr>
                  <w:pStyle w:val="BodyText"/>
                  <w:spacing w:line="264" w:lineRule="exact"/>
                  <w:ind w:left="20"/>
                  <w:rPr>
                    <w:rFonts w:ascii="Calibri"/>
                  </w:rPr>
                </w:pPr>
                <w:r>
                  <w:rPr>
                    <w:rFonts w:ascii="Calibri"/>
                  </w:rPr>
                  <w:t>25</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pt;margin-top:728.599976pt;width:16.25pt;height:14pt;mso-position-horizontal-relative:page;mso-position-vertical-relative:page;z-index:-240160"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31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97.880005pt;margin-top:728.599976pt;width:16.4pt;height:14pt;mso-position-horizontal-relative:page;mso-position-vertical-relative:page;z-index:-240136" type="#_x0000_t202" filled="false" stroked="false">
          <v:textbox inset="0,0,0,0">
            <w:txbxContent>
              <w:p>
                <w:pPr>
                  <w:pStyle w:val="BodyText"/>
                  <w:spacing w:line="264" w:lineRule="exact"/>
                  <w:ind w:left="42"/>
                  <w:rPr>
                    <w:rFonts w:ascii="Calibri"/>
                  </w:rPr>
                </w:pPr>
                <w:r>
                  <w:rPr/>
                  <w:fldChar w:fldCharType="begin"/>
                </w:r>
                <w:r>
                  <w:rPr>
                    <w:rFonts w:ascii="Calibri"/>
                  </w:rPr>
                  <w:instrText> PAGE </w:instrText>
                </w:r>
                <w:r>
                  <w:rPr/>
                  <w:fldChar w:fldCharType="separate"/>
                </w:r>
                <w:r>
                  <w:rPr/>
                  <w:t>32</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pt;margin-top:728.599976pt;width:16.25pt;height:14pt;mso-position-horizontal-relative:page;mso-position-vertical-relative:page;z-index:-240112"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35</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880005pt;margin-top:728.599976pt;width:16.4pt;height:14pt;mso-position-horizontal-relative:page;mso-position-vertical-relative:page;z-index:-240088" type="#_x0000_t202" filled="false" stroked="false">
          <v:textbox inset="0,0,0,0">
            <w:txbxContent>
              <w:p>
                <w:pPr>
                  <w:pStyle w:val="BodyText"/>
                  <w:spacing w:line="264" w:lineRule="exact"/>
                  <w:ind w:left="42"/>
                  <w:rPr>
                    <w:rFonts w:ascii="Calibri"/>
                  </w:rPr>
                </w:pPr>
                <w:r>
                  <w:rPr/>
                  <w:fldChar w:fldCharType="begin"/>
                </w:r>
                <w:r>
                  <w:rPr>
                    <w:rFonts w:ascii="Calibri"/>
                  </w:rPr>
                  <w:instrText> PAGE </w:instrText>
                </w:r>
                <w:r>
                  <w:rPr/>
                  <w:fldChar w:fldCharType="separate"/>
                </w:r>
                <w:r>
                  <w:rPr/>
                  <w:t>36</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pt;margin-top:728.599976pt;width:16.25pt;height:14pt;mso-position-horizontal-relative:page;mso-position-vertical-relative:page;z-index:-240064"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49</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2180" w:hanging="360"/>
      </w:pPr>
      <w:rPr>
        <w:rFonts w:hint="default" w:ascii="Symbol" w:hAnsi="Symbol" w:eastAsia="Symbol" w:cs="Symbol"/>
        <w:w w:val="100"/>
        <w:sz w:val="24"/>
        <w:szCs w:val="24"/>
        <w:lang w:val="en-us" w:eastAsia="en-us" w:bidi="en-us"/>
      </w:rPr>
    </w:lvl>
    <w:lvl w:ilvl="1">
      <w:start w:val="0"/>
      <w:numFmt w:val="bullet"/>
      <w:lvlText w:val="•"/>
      <w:lvlJc w:val="left"/>
      <w:pPr>
        <w:ind w:left="3090" w:hanging="360"/>
      </w:pPr>
      <w:rPr>
        <w:rFonts w:hint="default"/>
        <w:lang w:val="en-us" w:eastAsia="en-us" w:bidi="en-us"/>
      </w:rPr>
    </w:lvl>
    <w:lvl w:ilvl="2">
      <w:start w:val="0"/>
      <w:numFmt w:val="bullet"/>
      <w:lvlText w:val="•"/>
      <w:lvlJc w:val="left"/>
      <w:pPr>
        <w:ind w:left="4000" w:hanging="360"/>
      </w:pPr>
      <w:rPr>
        <w:rFonts w:hint="default"/>
        <w:lang w:val="en-us" w:eastAsia="en-us" w:bidi="en-us"/>
      </w:rPr>
    </w:lvl>
    <w:lvl w:ilvl="3">
      <w:start w:val="0"/>
      <w:numFmt w:val="bullet"/>
      <w:lvlText w:val="•"/>
      <w:lvlJc w:val="left"/>
      <w:pPr>
        <w:ind w:left="4910" w:hanging="360"/>
      </w:pPr>
      <w:rPr>
        <w:rFonts w:hint="default"/>
        <w:lang w:val="en-us" w:eastAsia="en-us" w:bidi="en-us"/>
      </w:rPr>
    </w:lvl>
    <w:lvl w:ilvl="4">
      <w:start w:val="0"/>
      <w:numFmt w:val="bullet"/>
      <w:lvlText w:val="•"/>
      <w:lvlJc w:val="left"/>
      <w:pPr>
        <w:ind w:left="5820" w:hanging="360"/>
      </w:pPr>
      <w:rPr>
        <w:rFonts w:hint="default"/>
        <w:lang w:val="en-us" w:eastAsia="en-us" w:bidi="en-us"/>
      </w:rPr>
    </w:lvl>
    <w:lvl w:ilvl="5">
      <w:start w:val="0"/>
      <w:numFmt w:val="bullet"/>
      <w:lvlText w:val="•"/>
      <w:lvlJc w:val="left"/>
      <w:pPr>
        <w:ind w:left="6730" w:hanging="360"/>
      </w:pPr>
      <w:rPr>
        <w:rFonts w:hint="default"/>
        <w:lang w:val="en-us" w:eastAsia="en-us" w:bidi="en-us"/>
      </w:rPr>
    </w:lvl>
    <w:lvl w:ilvl="6">
      <w:start w:val="0"/>
      <w:numFmt w:val="bullet"/>
      <w:lvlText w:val="•"/>
      <w:lvlJc w:val="left"/>
      <w:pPr>
        <w:ind w:left="7640" w:hanging="360"/>
      </w:pPr>
      <w:rPr>
        <w:rFonts w:hint="default"/>
        <w:lang w:val="en-us" w:eastAsia="en-us" w:bidi="en-us"/>
      </w:rPr>
    </w:lvl>
    <w:lvl w:ilvl="7">
      <w:start w:val="0"/>
      <w:numFmt w:val="bullet"/>
      <w:lvlText w:val="•"/>
      <w:lvlJc w:val="left"/>
      <w:pPr>
        <w:ind w:left="8550" w:hanging="360"/>
      </w:pPr>
      <w:rPr>
        <w:rFonts w:hint="default"/>
        <w:lang w:val="en-us" w:eastAsia="en-us" w:bidi="en-us"/>
      </w:rPr>
    </w:lvl>
    <w:lvl w:ilvl="8">
      <w:start w:val="0"/>
      <w:numFmt w:val="bullet"/>
      <w:lvlText w:val="•"/>
      <w:lvlJc w:val="left"/>
      <w:pPr>
        <w:ind w:left="9460" w:hanging="360"/>
      </w:pPr>
      <w:rPr>
        <w:rFonts w:hint="default"/>
        <w:lang w:val="en-us" w:eastAsia="en-us" w:bidi="en-us"/>
      </w:rPr>
    </w:lvl>
  </w:abstractNum>
  <w:abstractNum w:abstractNumId="4">
    <w:multiLevelType w:val="hybridMultilevel"/>
    <w:lvl w:ilvl="0">
      <w:start w:val="0"/>
      <w:numFmt w:val="bullet"/>
      <w:lvlText w:val=""/>
      <w:lvlJc w:val="left"/>
      <w:pPr>
        <w:ind w:left="1820" w:hanging="360"/>
      </w:pPr>
      <w:rPr>
        <w:rFonts w:hint="default" w:ascii="Symbol" w:hAnsi="Symbol" w:eastAsia="Symbol" w:cs="Symbol"/>
        <w:w w:val="100"/>
        <w:sz w:val="24"/>
        <w:szCs w:val="24"/>
        <w:lang w:val="en-us" w:eastAsia="en-us" w:bidi="en-us"/>
      </w:rPr>
    </w:lvl>
    <w:lvl w:ilvl="1">
      <w:start w:val="0"/>
      <w:numFmt w:val="bullet"/>
      <w:lvlText w:val="•"/>
      <w:lvlJc w:val="left"/>
      <w:pPr>
        <w:ind w:left="2766" w:hanging="360"/>
      </w:pPr>
      <w:rPr>
        <w:rFonts w:hint="default"/>
        <w:lang w:val="en-us" w:eastAsia="en-us" w:bidi="en-us"/>
      </w:rPr>
    </w:lvl>
    <w:lvl w:ilvl="2">
      <w:start w:val="0"/>
      <w:numFmt w:val="bullet"/>
      <w:lvlText w:val="•"/>
      <w:lvlJc w:val="left"/>
      <w:pPr>
        <w:ind w:left="3712" w:hanging="360"/>
      </w:pPr>
      <w:rPr>
        <w:rFonts w:hint="default"/>
        <w:lang w:val="en-us" w:eastAsia="en-us" w:bidi="en-us"/>
      </w:rPr>
    </w:lvl>
    <w:lvl w:ilvl="3">
      <w:start w:val="0"/>
      <w:numFmt w:val="bullet"/>
      <w:lvlText w:val="•"/>
      <w:lvlJc w:val="left"/>
      <w:pPr>
        <w:ind w:left="4658" w:hanging="360"/>
      </w:pPr>
      <w:rPr>
        <w:rFonts w:hint="default"/>
        <w:lang w:val="en-us" w:eastAsia="en-us" w:bidi="en-us"/>
      </w:rPr>
    </w:lvl>
    <w:lvl w:ilvl="4">
      <w:start w:val="0"/>
      <w:numFmt w:val="bullet"/>
      <w:lvlText w:val="•"/>
      <w:lvlJc w:val="left"/>
      <w:pPr>
        <w:ind w:left="5604" w:hanging="360"/>
      </w:pPr>
      <w:rPr>
        <w:rFonts w:hint="default"/>
        <w:lang w:val="en-us" w:eastAsia="en-us" w:bidi="en-us"/>
      </w:rPr>
    </w:lvl>
    <w:lvl w:ilvl="5">
      <w:start w:val="0"/>
      <w:numFmt w:val="bullet"/>
      <w:lvlText w:val="•"/>
      <w:lvlJc w:val="left"/>
      <w:pPr>
        <w:ind w:left="6550" w:hanging="360"/>
      </w:pPr>
      <w:rPr>
        <w:rFonts w:hint="default"/>
        <w:lang w:val="en-us" w:eastAsia="en-us" w:bidi="en-us"/>
      </w:rPr>
    </w:lvl>
    <w:lvl w:ilvl="6">
      <w:start w:val="0"/>
      <w:numFmt w:val="bullet"/>
      <w:lvlText w:val="•"/>
      <w:lvlJc w:val="left"/>
      <w:pPr>
        <w:ind w:left="7496" w:hanging="360"/>
      </w:pPr>
      <w:rPr>
        <w:rFonts w:hint="default"/>
        <w:lang w:val="en-us" w:eastAsia="en-us" w:bidi="en-us"/>
      </w:rPr>
    </w:lvl>
    <w:lvl w:ilvl="7">
      <w:start w:val="0"/>
      <w:numFmt w:val="bullet"/>
      <w:lvlText w:val="•"/>
      <w:lvlJc w:val="left"/>
      <w:pPr>
        <w:ind w:left="8442" w:hanging="360"/>
      </w:pPr>
      <w:rPr>
        <w:rFonts w:hint="default"/>
        <w:lang w:val="en-us" w:eastAsia="en-us" w:bidi="en-us"/>
      </w:rPr>
    </w:lvl>
    <w:lvl w:ilvl="8">
      <w:start w:val="0"/>
      <w:numFmt w:val="bullet"/>
      <w:lvlText w:val="•"/>
      <w:lvlJc w:val="left"/>
      <w:pPr>
        <w:ind w:left="9388" w:hanging="360"/>
      </w:pPr>
      <w:rPr>
        <w:rFonts w:hint="default"/>
        <w:lang w:val="en-us" w:eastAsia="en-us" w:bidi="en-us"/>
      </w:rPr>
    </w:lvl>
  </w:abstractNum>
  <w:abstractNum w:abstractNumId="19">
    <w:multiLevelType w:val="hybridMultilevel"/>
    <w:lvl w:ilvl="0">
      <w:start w:val="1"/>
      <w:numFmt w:val="upperLetter"/>
      <w:lvlText w:val="%1."/>
      <w:lvlJc w:val="left"/>
      <w:pPr>
        <w:ind w:left="1460" w:hanging="360"/>
        <w:jc w:val="left"/>
      </w:pPr>
      <w:rPr>
        <w:rFonts w:hint="default" w:ascii="Arial" w:hAnsi="Arial" w:eastAsia="Arial" w:cs="Arial"/>
        <w:b/>
        <w:bCs/>
        <w:spacing w:val="-11"/>
        <w:w w:val="98"/>
        <w:sz w:val="24"/>
        <w:szCs w:val="24"/>
        <w:lang w:val="en-us" w:eastAsia="en-us" w:bidi="en-us"/>
      </w:rPr>
    </w:lvl>
    <w:lvl w:ilvl="1">
      <w:start w:val="0"/>
      <w:numFmt w:val="bullet"/>
      <w:lvlText w:val="•"/>
      <w:lvlJc w:val="left"/>
      <w:pPr>
        <w:ind w:left="2442" w:hanging="360"/>
      </w:pPr>
      <w:rPr>
        <w:rFonts w:hint="default"/>
        <w:lang w:val="en-us" w:eastAsia="en-us" w:bidi="en-us"/>
      </w:rPr>
    </w:lvl>
    <w:lvl w:ilvl="2">
      <w:start w:val="0"/>
      <w:numFmt w:val="bullet"/>
      <w:lvlText w:val="•"/>
      <w:lvlJc w:val="left"/>
      <w:pPr>
        <w:ind w:left="3424" w:hanging="360"/>
      </w:pPr>
      <w:rPr>
        <w:rFonts w:hint="default"/>
        <w:lang w:val="en-us" w:eastAsia="en-us" w:bidi="en-us"/>
      </w:rPr>
    </w:lvl>
    <w:lvl w:ilvl="3">
      <w:start w:val="0"/>
      <w:numFmt w:val="bullet"/>
      <w:lvlText w:val="•"/>
      <w:lvlJc w:val="left"/>
      <w:pPr>
        <w:ind w:left="4406" w:hanging="360"/>
      </w:pPr>
      <w:rPr>
        <w:rFonts w:hint="default"/>
        <w:lang w:val="en-us" w:eastAsia="en-us" w:bidi="en-us"/>
      </w:rPr>
    </w:lvl>
    <w:lvl w:ilvl="4">
      <w:start w:val="0"/>
      <w:numFmt w:val="bullet"/>
      <w:lvlText w:val="•"/>
      <w:lvlJc w:val="left"/>
      <w:pPr>
        <w:ind w:left="5388" w:hanging="360"/>
      </w:pPr>
      <w:rPr>
        <w:rFonts w:hint="default"/>
        <w:lang w:val="en-us" w:eastAsia="en-us" w:bidi="en-us"/>
      </w:rPr>
    </w:lvl>
    <w:lvl w:ilvl="5">
      <w:start w:val="0"/>
      <w:numFmt w:val="bullet"/>
      <w:lvlText w:val="•"/>
      <w:lvlJc w:val="left"/>
      <w:pPr>
        <w:ind w:left="6370" w:hanging="360"/>
      </w:pPr>
      <w:rPr>
        <w:rFonts w:hint="default"/>
        <w:lang w:val="en-us" w:eastAsia="en-us" w:bidi="en-us"/>
      </w:rPr>
    </w:lvl>
    <w:lvl w:ilvl="6">
      <w:start w:val="0"/>
      <w:numFmt w:val="bullet"/>
      <w:lvlText w:val="•"/>
      <w:lvlJc w:val="left"/>
      <w:pPr>
        <w:ind w:left="7352" w:hanging="360"/>
      </w:pPr>
      <w:rPr>
        <w:rFonts w:hint="default"/>
        <w:lang w:val="en-us" w:eastAsia="en-us" w:bidi="en-us"/>
      </w:rPr>
    </w:lvl>
    <w:lvl w:ilvl="7">
      <w:start w:val="0"/>
      <w:numFmt w:val="bullet"/>
      <w:lvlText w:val="•"/>
      <w:lvlJc w:val="left"/>
      <w:pPr>
        <w:ind w:left="8334" w:hanging="360"/>
      </w:pPr>
      <w:rPr>
        <w:rFonts w:hint="default"/>
        <w:lang w:val="en-us" w:eastAsia="en-us" w:bidi="en-us"/>
      </w:rPr>
    </w:lvl>
    <w:lvl w:ilvl="8">
      <w:start w:val="0"/>
      <w:numFmt w:val="bullet"/>
      <w:lvlText w:val="•"/>
      <w:lvlJc w:val="left"/>
      <w:pPr>
        <w:ind w:left="9316" w:hanging="360"/>
      </w:pPr>
      <w:rPr>
        <w:rFonts w:hint="default"/>
        <w:lang w:val="en-us" w:eastAsia="en-us" w:bidi="en-us"/>
      </w:rPr>
    </w:lvl>
  </w:abstractNum>
  <w:abstractNum w:abstractNumId="18">
    <w:multiLevelType w:val="hybridMultilevel"/>
    <w:lvl w:ilvl="0">
      <w:start w:val="1"/>
      <w:numFmt w:val="decimal"/>
      <w:lvlText w:val="%1."/>
      <w:lvlJc w:val="left"/>
      <w:pPr>
        <w:ind w:left="2180" w:hanging="360"/>
        <w:jc w:val="left"/>
      </w:pPr>
      <w:rPr>
        <w:rFonts w:hint="default" w:ascii="Arial" w:hAnsi="Arial" w:eastAsia="Arial" w:cs="Arial"/>
        <w:spacing w:val="-5"/>
        <w:w w:val="98"/>
        <w:sz w:val="24"/>
        <w:szCs w:val="24"/>
        <w:lang w:val="en-us" w:eastAsia="en-us" w:bidi="en-us"/>
      </w:rPr>
    </w:lvl>
    <w:lvl w:ilvl="1">
      <w:start w:val="0"/>
      <w:numFmt w:val="bullet"/>
      <w:lvlText w:val="•"/>
      <w:lvlJc w:val="left"/>
      <w:pPr>
        <w:ind w:left="3090" w:hanging="360"/>
      </w:pPr>
      <w:rPr>
        <w:rFonts w:hint="default"/>
        <w:lang w:val="en-us" w:eastAsia="en-us" w:bidi="en-us"/>
      </w:rPr>
    </w:lvl>
    <w:lvl w:ilvl="2">
      <w:start w:val="0"/>
      <w:numFmt w:val="bullet"/>
      <w:lvlText w:val="•"/>
      <w:lvlJc w:val="left"/>
      <w:pPr>
        <w:ind w:left="4000" w:hanging="360"/>
      </w:pPr>
      <w:rPr>
        <w:rFonts w:hint="default"/>
        <w:lang w:val="en-us" w:eastAsia="en-us" w:bidi="en-us"/>
      </w:rPr>
    </w:lvl>
    <w:lvl w:ilvl="3">
      <w:start w:val="0"/>
      <w:numFmt w:val="bullet"/>
      <w:lvlText w:val="•"/>
      <w:lvlJc w:val="left"/>
      <w:pPr>
        <w:ind w:left="4910" w:hanging="360"/>
      </w:pPr>
      <w:rPr>
        <w:rFonts w:hint="default"/>
        <w:lang w:val="en-us" w:eastAsia="en-us" w:bidi="en-us"/>
      </w:rPr>
    </w:lvl>
    <w:lvl w:ilvl="4">
      <w:start w:val="0"/>
      <w:numFmt w:val="bullet"/>
      <w:lvlText w:val="•"/>
      <w:lvlJc w:val="left"/>
      <w:pPr>
        <w:ind w:left="5820" w:hanging="360"/>
      </w:pPr>
      <w:rPr>
        <w:rFonts w:hint="default"/>
        <w:lang w:val="en-us" w:eastAsia="en-us" w:bidi="en-us"/>
      </w:rPr>
    </w:lvl>
    <w:lvl w:ilvl="5">
      <w:start w:val="0"/>
      <w:numFmt w:val="bullet"/>
      <w:lvlText w:val="•"/>
      <w:lvlJc w:val="left"/>
      <w:pPr>
        <w:ind w:left="6730" w:hanging="360"/>
      </w:pPr>
      <w:rPr>
        <w:rFonts w:hint="default"/>
        <w:lang w:val="en-us" w:eastAsia="en-us" w:bidi="en-us"/>
      </w:rPr>
    </w:lvl>
    <w:lvl w:ilvl="6">
      <w:start w:val="0"/>
      <w:numFmt w:val="bullet"/>
      <w:lvlText w:val="•"/>
      <w:lvlJc w:val="left"/>
      <w:pPr>
        <w:ind w:left="7640" w:hanging="360"/>
      </w:pPr>
      <w:rPr>
        <w:rFonts w:hint="default"/>
        <w:lang w:val="en-us" w:eastAsia="en-us" w:bidi="en-us"/>
      </w:rPr>
    </w:lvl>
    <w:lvl w:ilvl="7">
      <w:start w:val="0"/>
      <w:numFmt w:val="bullet"/>
      <w:lvlText w:val="•"/>
      <w:lvlJc w:val="left"/>
      <w:pPr>
        <w:ind w:left="8550" w:hanging="360"/>
      </w:pPr>
      <w:rPr>
        <w:rFonts w:hint="default"/>
        <w:lang w:val="en-us" w:eastAsia="en-us" w:bidi="en-us"/>
      </w:rPr>
    </w:lvl>
    <w:lvl w:ilvl="8">
      <w:start w:val="0"/>
      <w:numFmt w:val="bullet"/>
      <w:lvlText w:val="•"/>
      <w:lvlJc w:val="left"/>
      <w:pPr>
        <w:ind w:left="9460" w:hanging="360"/>
      </w:pPr>
      <w:rPr>
        <w:rFonts w:hint="default"/>
        <w:lang w:val="en-us" w:eastAsia="en-us" w:bidi="en-us"/>
      </w:rPr>
    </w:lvl>
  </w:abstractNum>
  <w:abstractNum w:abstractNumId="17">
    <w:multiLevelType w:val="hybridMultilevel"/>
    <w:lvl w:ilvl="0">
      <w:start w:val="1"/>
      <w:numFmt w:val="decimal"/>
      <w:lvlText w:val="%1)"/>
      <w:lvlJc w:val="left"/>
      <w:pPr>
        <w:ind w:left="2820" w:hanging="281"/>
        <w:jc w:val="left"/>
      </w:pPr>
      <w:rPr>
        <w:rFonts w:hint="default" w:ascii="Arial" w:hAnsi="Arial" w:eastAsia="Arial" w:cs="Arial"/>
        <w:spacing w:val="-5"/>
        <w:w w:val="98"/>
        <w:sz w:val="24"/>
        <w:szCs w:val="24"/>
        <w:lang w:val="en-us" w:eastAsia="en-us" w:bidi="en-us"/>
      </w:rPr>
    </w:lvl>
    <w:lvl w:ilvl="1">
      <w:start w:val="0"/>
      <w:numFmt w:val="bullet"/>
      <w:lvlText w:val="•"/>
      <w:lvlJc w:val="left"/>
      <w:pPr>
        <w:ind w:left="3666" w:hanging="281"/>
      </w:pPr>
      <w:rPr>
        <w:rFonts w:hint="default"/>
        <w:lang w:val="en-us" w:eastAsia="en-us" w:bidi="en-us"/>
      </w:rPr>
    </w:lvl>
    <w:lvl w:ilvl="2">
      <w:start w:val="0"/>
      <w:numFmt w:val="bullet"/>
      <w:lvlText w:val="•"/>
      <w:lvlJc w:val="left"/>
      <w:pPr>
        <w:ind w:left="4512" w:hanging="281"/>
      </w:pPr>
      <w:rPr>
        <w:rFonts w:hint="default"/>
        <w:lang w:val="en-us" w:eastAsia="en-us" w:bidi="en-us"/>
      </w:rPr>
    </w:lvl>
    <w:lvl w:ilvl="3">
      <w:start w:val="0"/>
      <w:numFmt w:val="bullet"/>
      <w:lvlText w:val="•"/>
      <w:lvlJc w:val="left"/>
      <w:pPr>
        <w:ind w:left="5358" w:hanging="281"/>
      </w:pPr>
      <w:rPr>
        <w:rFonts w:hint="default"/>
        <w:lang w:val="en-us" w:eastAsia="en-us" w:bidi="en-us"/>
      </w:rPr>
    </w:lvl>
    <w:lvl w:ilvl="4">
      <w:start w:val="0"/>
      <w:numFmt w:val="bullet"/>
      <w:lvlText w:val="•"/>
      <w:lvlJc w:val="left"/>
      <w:pPr>
        <w:ind w:left="6204" w:hanging="281"/>
      </w:pPr>
      <w:rPr>
        <w:rFonts w:hint="default"/>
        <w:lang w:val="en-us" w:eastAsia="en-us" w:bidi="en-us"/>
      </w:rPr>
    </w:lvl>
    <w:lvl w:ilvl="5">
      <w:start w:val="0"/>
      <w:numFmt w:val="bullet"/>
      <w:lvlText w:val="•"/>
      <w:lvlJc w:val="left"/>
      <w:pPr>
        <w:ind w:left="7050" w:hanging="281"/>
      </w:pPr>
      <w:rPr>
        <w:rFonts w:hint="default"/>
        <w:lang w:val="en-us" w:eastAsia="en-us" w:bidi="en-us"/>
      </w:rPr>
    </w:lvl>
    <w:lvl w:ilvl="6">
      <w:start w:val="0"/>
      <w:numFmt w:val="bullet"/>
      <w:lvlText w:val="•"/>
      <w:lvlJc w:val="left"/>
      <w:pPr>
        <w:ind w:left="7896" w:hanging="281"/>
      </w:pPr>
      <w:rPr>
        <w:rFonts w:hint="default"/>
        <w:lang w:val="en-us" w:eastAsia="en-us" w:bidi="en-us"/>
      </w:rPr>
    </w:lvl>
    <w:lvl w:ilvl="7">
      <w:start w:val="0"/>
      <w:numFmt w:val="bullet"/>
      <w:lvlText w:val="•"/>
      <w:lvlJc w:val="left"/>
      <w:pPr>
        <w:ind w:left="8742" w:hanging="281"/>
      </w:pPr>
      <w:rPr>
        <w:rFonts w:hint="default"/>
        <w:lang w:val="en-us" w:eastAsia="en-us" w:bidi="en-us"/>
      </w:rPr>
    </w:lvl>
    <w:lvl w:ilvl="8">
      <w:start w:val="0"/>
      <w:numFmt w:val="bullet"/>
      <w:lvlText w:val="•"/>
      <w:lvlJc w:val="left"/>
      <w:pPr>
        <w:ind w:left="9588" w:hanging="281"/>
      </w:pPr>
      <w:rPr>
        <w:rFonts w:hint="default"/>
        <w:lang w:val="en-us" w:eastAsia="en-us" w:bidi="en-us"/>
      </w:rPr>
    </w:lvl>
  </w:abstractNum>
  <w:abstractNum w:abstractNumId="16">
    <w:multiLevelType w:val="hybridMultilevel"/>
    <w:lvl w:ilvl="0">
      <w:start w:val="1"/>
      <w:numFmt w:val="decimal"/>
      <w:lvlText w:val="%1)"/>
      <w:lvlJc w:val="left"/>
      <w:pPr>
        <w:ind w:left="2540" w:hanging="281"/>
        <w:jc w:val="left"/>
      </w:pPr>
      <w:rPr>
        <w:rFonts w:hint="default" w:ascii="Arial" w:hAnsi="Arial" w:eastAsia="Arial" w:cs="Arial"/>
        <w:spacing w:val="-5"/>
        <w:w w:val="98"/>
        <w:sz w:val="24"/>
        <w:szCs w:val="24"/>
        <w:lang w:val="en-us" w:eastAsia="en-us" w:bidi="en-us"/>
      </w:rPr>
    </w:lvl>
    <w:lvl w:ilvl="1">
      <w:start w:val="0"/>
      <w:numFmt w:val="bullet"/>
      <w:lvlText w:val="•"/>
      <w:lvlJc w:val="left"/>
      <w:pPr>
        <w:ind w:left="3414" w:hanging="281"/>
      </w:pPr>
      <w:rPr>
        <w:rFonts w:hint="default"/>
        <w:lang w:val="en-us" w:eastAsia="en-us" w:bidi="en-us"/>
      </w:rPr>
    </w:lvl>
    <w:lvl w:ilvl="2">
      <w:start w:val="0"/>
      <w:numFmt w:val="bullet"/>
      <w:lvlText w:val="•"/>
      <w:lvlJc w:val="left"/>
      <w:pPr>
        <w:ind w:left="4288" w:hanging="281"/>
      </w:pPr>
      <w:rPr>
        <w:rFonts w:hint="default"/>
        <w:lang w:val="en-us" w:eastAsia="en-us" w:bidi="en-us"/>
      </w:rPr>
    </w:lvl>
    <w:lvl w:ilvl="3">
      <w:start w:val="0"/>
      <w:numFmt w:val="bullet"/>
      <w:lvlText w:val="•"/>
      <w:lvlJc w:val="left"/>
      <w:pPr>
        <w:ind w:left="5162" w:hanging="281"/>
      </w:pPr>
      <w:rPr>
        <w:rFonts w:hint="default"/>
        <w:lang w:val="en-us" w:eastAsia="en-us" w:bidi="en-us"/>
      </w:rPr>
    </w:lvl>
    <w:lvl w:ilvl="4">
      <w:start w:val="0"/>
      <w:numFmt w:val="bullet"/>
      <w:lvlText w:val="•"/>
      <w:lvlJc w:val="left"/>
      <w:pPr>
        <w:ind w:left="6036" w:hanging="281"/>
      </w:pPr>
      <w:rPr>
        <w:rFonts w:hint="default"/>
        <w:lang w:val="en-us" w:eastAsia="en-us" w:bidi="en-us"/>
      </w:rPr>
    </w:lvl>
    <w:lvl w:ilvl="5">
      <w:start w:val="0"/>
      <w:numFmt w:val="bullet"/>
      <w:lvlText w:val="•"/>
      <w:lvlJc w:val="left"/>
      <w:pPr>
        <w:ind w:left="6910" w:hanging="281"/>
      </w:pPr>
      <w:rPr>
        <w:rFonts w:hint="default"/>
        <w:lang w:val="en-us" w:eastAsia="en-us" w:bidi="en-us"/>
      </w:rPr>
    </w:lvl>
    <w:lvl w:ilvl="6">
      <w:start w:val="0"/>
      <w:numFmt w:val="bullet"/>
      <w:lvlText w:val="•"/>
      <w:lvlJc w:val="left"/>
      <w:pPr>
        <w:ind w:left="7784" w:hanging="281"/>
      </w:pPr>
      <w:rPr>
        <w:rFonts w:hint="default"/>
        <w:lang w:val="en-us" w:eastAsia="en-us" w:bidi="en-us"/>
      </w:rPr>
    </w:lvl>
    <w:lvl w:ilvl="7">
      <w:start w:val="0"/>
      <w:numFmt w:val="bullet"/>
      <w:lvlText w:val="•"/>
      <w:lvlJc w:val="left"/>
      <w:pPr>
        <w:ind w:left="8658" w:hanging="281"/>
      </w:pPr>
      <w:rPr>
        <w:rFonts w:hint="default"/>
        <w:lang w:val="en-us" w:eastAsia="en-us" w:bidi="en-us"/>
      </w:rPr>
    </w:lvl>
    <w:lvl w:ilvl="8">
      <w:start w:val="0"/>
      <w:numFmt w:val="bullet"/>
      <w:lvlText w:val="•"/>
      <w:lvlJc w:val="left"/>
      <w:pPr>
        <w:ind w:left="9532" w:hanging="281"/>
      </w:pPr>
      <w:rPr>
        <w:rFonts w:hint="default"/>
        <w:lang w:val="en-us" w:eastAsia="en-us" w:bidi="en-us"/>
      </w:rPr>
    </w:lvl>
  </w:abstractNum>
  <w:abstractNum w:abstractNumId="15">
    <w:multiLevelType w:val="hybridMultilevel"/>
    <w:lvl w:ilvl="0">
      <w:start w:val="1"/>
      <w:numFmt w:val="decimal"/>
      <w:lvlText w:val="%1)"/>
      <w:lvlJc w:val="left"/>
      <w:pPr>
        <w:ind w:left="1719" w:hanging="360"/>
        <w:jc w:val="left"/>
      </w:pPr>
      <w:rPr>
        <w:rFonts w:hint="default" w:ascii="Arial" w:hAnsi="Arial" w:eastAsia="Arial" w:cs="Arial"/>
        <w:b/>
        <w:bCs/>
        <w:spacing w:val="-1"/>
        <w:w w:val="100"/>
        <w:sz w:val="22"/>
        <w:szCs w:val="22"/>
        <w:lang w:val="en-us" w:eastAsia="en-us" w:bidi="en-us"/>
      </w:rPr>
    </w:lvl>
    <w:lvl w:ilvl="1">
      <w:start w:val="0"/>
      <w:numFmt w:val="bullet"/>
      <w:lvlText w:val=""/>
      <w:lvlJc w:val="left"/>
      <w:pPr>
        <w:ind w:left="1820" w:hanging="360"/>
      </w:pPr>
      <w:rPr>
        <w:rFonts w:hint="default" w:ascii="Symbol" w:hAnsi="Symbol" w:eastAsia="Symbol" w:cs="Symbol"/>
        <w:w w:val="100"/>
        <w:sz w:val="24"/>
        <w:szCs w:val="24"/>
        <w:lang w:val="en-us" w:eastAsia="en-us" w:bidi="en-us"/>
      </w:rPr>
    </w:lvl>
    <w:lvl w:ilvl="2">
      <w:start w:val="0"/>
      <w:numFmt w:val="bullet"/>
      <w:lvlText w:val="o"/>
      <w:lvlJc w:val="left"/>
      <w:pPr>
        <w:ind w:left="3260" w:hanging="720"/>
      </w:pPr>
      <w:rPr>
        <w:rFonts w:hint="default" w:ascii="Courier New" w:hAnsi="Courier New" w:eastAsia="Courier New" w:cs="Courier New"/>
        <w:w w:val="99"/>
        <w:sz w:val="24"/>
        <w:szCs w:val="24"/>
        <w:lang w:val="en-us" w:eastAsia="en-us" w:bidi="en-us"/>
      </w:rPr>
    </w:lvl>
    <w:lvl w:ilvl="3">
      <w:start w:val="0"/>
      <w:numFmt w:val="bullet"/>
      <w:lvlText w:val="•"/>
      <w:lvlJc w:val="left"/>
      <w:pPr>
        <w:ind w:left="4262" w:hanging="720"/>
      </w:pPr>
      <w:rPr>
        <w:rFonts w:hint="default"/>
        <w:lang w:val="en-us" w:eastAsia="en-us" w:bidi="en-us"/>
      </w:rPr>
    </w:lvl>
    <w:lvl w:ilvl="4">
      <w:start w:val="0"/>
      <w:numFmt w:val="bullet"/>
      <w:lvlText w:val="•"/>
      <w:lvlJc w:val="left"/>
      <w:pPr>
        <w:ind w:left="5265" w:hanging="720"/>
      </w:pPr>
      <w:rPr>
        <w:rFonts w:hint="default"/>
        <w:lang w:val="en-us" w:eastAsia="en-us" w:bidi="en-us"/>
      </w:rPr>
    </w:lvl>
    <w:lvl w:ilvl="5">
      <w:start w:val="0"/>
      <w:numFmt w:val="bullet"/>
      <w:lvlText w:val="•"/>
      <w:lvlJc w:val="left"/>
      <w:pPr>
        <w:ind w:left="6267" w:hanging="720"/>
      </w:pPr>
      <w:rPr>
        <w:rFonts w:hint="default"/>
        <w:lang w:val="en-us" w:eastAsia="en-us" w:bidi="en-us"/>
      </w:rPr>
    </w:lvl>
    <w:lvl w:ilvl="6">
      <w:start w:val="0"/>
      <w:numFmt w:val="bullet"/>
      <w:lvlText w:val="•"/>
      <w:lvlJc w:val="left"/>
      <w:pPr>
        <w:ind w:left="7270" w:hanging="720"/>
      </w:pPr>
      <w:rPr>
        <w:rFonts w:hint="default"/>
        <w:lang w:val="en-us" w:eastAsia="en-us" w:bidi="en-us"/>
      </w:rPr>
    </w:lvl>
    <w:lvl w:ilvl="7">
      <w:start w:val="0"/>
      <w:numFmt w:val="bullet"/>
      <w:lvlText w:val="•"/>
      <w:lvlJc w:val="left"/>
      <w:pPr>
        <w:ind w:left="8272" w:hanging="720"/>
      </w:pPr>
      <w:rPr>
        <w:rFonts w:hint="default"/>
        <w:lang w:val="en-us" w:eastAsia="en-us" w:bidi="en-us"/>
      </w:rPr>
    </w:lvl>
    <w:lvl w:ilvl="8">
      <w:start w:val="0"/>
      <w:numFmt w:val="bullet"/>
      <w:lvlText w:val="•"/>
      <w:lvlJc w:val="left"/>
      <w:pPr>
        <w:ind w:left="9275" w:hanging="720"/>
      </w:pPr>
      <w:rPr>
        <w:rFonts w:hint="default"/>
        <w:lang w:val="en-us" w:eastAsia="en-us" w:bidi="en-us"/>
      </w:rPr>
    </w:lvl>
  </w:abstractNum>
  <w:abstractNum w:abstractNumId="14">
    <w:multiLevelType w:val="hybridMultilevel"/>
    <w:lvl w:ilvl="0">
      <w:start w:val="1"/>
      <w:numFmt w:val="decimal"/>
      <w:lvlText w:val="%1."/>
      <w:lvlJc w:val="left"/>
      <w:pPr>
        <w:ind w:left="2100" w:hanging="360"/>
        <w:jc w:val="left"/>
      </w:pPr>
      <w:rPr>
        <w:rFonts w:hint="default" w:ascii="Arial" w:hAnsi="Arial" w:eastAsia="Arial" w:cs="Arial"/>
        <w:b/>
        <w:bCs/>
        <w:spacing w:val="-8"/>
        <w:w w:val="99"/>
        <w:sz w:val="24"/>
        <w:szCs w:val="24"/>
        <w:lang w:val="en-us" w:eastAsia="en-us" w:bidi="en-us"/>
      </w:rPr>
    </w:lvl>
    <w:lvl w:ilvl="1">
      <w:start w:val="1"/>
      <w:numFmt w:val="upperLetter"/>
      <w:lvlText w:val="%2."/>
      <w:lvlJc w:val="left"/>
      <w:pPr>
        <w:ind w:left="2100" w:hanging="360"/>
        <w:jc w:val="left"/>
      </w:pPr>
      <w:rPr>
        <w:rFonts w:hint="default" w:ascii="Arial" w:hAnsi="Arial" w:eastAsia="Arial" w:cs="Arial"/>
        <w:b/>
        <w:bCs/>
        <w:spacing w:val="-9"/>
        <w:w w:val="99"/>
        <w:sz w:val="24"/>
        <w:szCs w:val="24"/>
        <w:lang w:val="en-us" w:eastAsia="en-us" w:bidi="en-us"/>
      </w:rPr>
    </w:lvl>
    <w:lvl w:ilvl="2">
      <w:start w:val="0"/>
      <w:numFmt w:val="bullet"/>
      <w:lvlText w:val="•"/>
      <w:lvlJc w:val="left"/>
      <w:pPr>
        <w:ind w:left="3936" w:hanging="360"/>
      </w:pPr>
      <w:rPr>
        <w:rFonts w:hint="default"/>
        <w:lang w:val="en-us" w:eastAsia="en-us" w:bidi="en-us"/>
      </w:rPr>
    </w:lvl>
    <w:lvl w:ilvl="3">
      <w:start w:val="0"/>
      <w:numFmt w:val="bullet"/>
      <w:lvlText w:val="•"/>
      <w:lvlJc w:val="left"/>
      <w:pPr>
        <w:ind w:left="4854" w:hanging="360"/>
      </w:pPr>
      <w:rPr>
        <w:rFonts w:hint="default"/>
        <w:lang w:val="en-us" w:eastAsia="en-us" w:bidi="en-us"/>
      </w:rPr>
    </w:lvl>
    <w:lvl w:ilvl="4">
      <w:start w:val="0"/>
      <w:numFmt w:val="bullet"/>
      <w:lvlText w:val="•"/>
      <w:lvlJc w:val="left"/>
      <w:pPr>
        <w:ind w:left="5772" w:hanging="360"/>
      </w:pPr>
      <w:rPr>
        <w:rFonts w:hint="default"/>
        <w:lang w:val="en-us" w:eastAsia="en-us" w:bidi="en-us"/>
      </w:rPr>
    </w:lvl>
    <w:lvl w:ilvl="5">
      <w:start w:val="0"/>
      <w:numFmt w:val="bullet"/>
      <w:lvlText w:val="•"/>
      <w:lvlJc w:val="left"/>
      <w:pPr>
        <w:ind w:left="6690" w:hanging="360"/>
      </w:pPr>
      <w:rPr>
        <w:rFonts w:hint="default"/>
        <w:lang w:val="en-us" w:eastAsia="en-us" w:bidi="en-us"/>
      </w:rPr>
    </w:lvl>
    <w:lvl w:ilvl="6">
      <w:start w:val="0"/>
      <w:numFmt w:val="bullet"/>
      <w:lvlText w:val="•"/>
      <w:lvlJc w:val="left"/>
      <w:pPr>
        <w:ind w:left="7608" w:hanging="360"/>
      </w:pPr>
      <w:rPr>
        <w:rFonts w:hint="default"/>
        <w:lang w:val="en-us" w:eastAsia="en-us" w:bidi="en-us"/>
      </w:rPr>
    </w:lvl>
    <w:lvl w:ilvl="7">
      <w:start w:val="0"/>
      <w:numFmt w:val="bullet"/>
      <w:lvlText w:val="•"/>
      <w:lvlJc w:val="left"/>
      <w:pPr>
        <w:ind w:left="8526" w:hanging="360"/>
      </w:pPr>
      <w:rPr>
        <w:rFonts w:hint="default"/>
        <w:lang w:val="en-us" w:eastAsia="en-us" w:bidi="en-us"/>
      </w:rPr>
    </w:lvl>
    <w:lvl w:ilvl="8">
      <w:start w:val="0"/>
      <w:numFmt w:val="bullet"/>
      <w:lvlText w:val="•"/>
      <w:lvlJc w:val="left"/>
      <w:pPr>
        <w:ind w:left="9444" w:hanging="360"/>
      </w:pPr>
      <w:rPr>
        <w:rFonts w:hint="default"/>
        <w:lang w:val="en-us" w:eastAsia="en-us" w:bidi="en-us"/>
      </w:rPr>
    </w:lvl>
  </w:abstractNum>
  <w:abstractNum w:abstractNumId="13">
    <w:multiLevelType w:val="hybridMultilevel"/>
    <w:lvl w:ilvl="0">
      <w:start w:val="22"/>
      <w:numFmt w:val="decimal"/>
      <w:lvlText w:val="%1."/>
      <w:lvlJc w:val="left"/>
      <w:pPr>
        <w:ind w:left="1565" w:hanging="466"/>
        <w:jc w:val="left"/>
      </w:pPr>
      <w:rPr>
        <w:rFonts w:hint="default" w:ascii="Arial" w:hAnsi="Arial" w:eastAsia="Arial" w:cs="Arial"/>
        <w:spacing w:val="-3"/>
        <w:w w:val="98"/>
        <w:sz w:val="24"/>
        <w:szCs w:val="24"/>
        <w:lang w:val="en-us" w:eastAsia="en-us" w:bidi="en-us"/>
      </w:rPr>
    </w:lvl>
    <w:lvl w:ilvl="1">
      <w:start w:val="0"/>
      <w:numFmt w:val="bullet"/>
      <w:lvlText w:val="■"/>
      <w:lvlJc w:val="left"/>
      <w:pPr>
        <w:ind w:left="2100" w:hanging="560"/>
      </w:pPr>
      <w:rPr>
        <w:rFonts w:hint="default" w:ascii="MS PGothic" w:hAnsi="MS PGothic" w:eastAsia="MS PGothic" w:cs="MS PGothic"/>
        <w:w w:val="99"/>
        <w:sz w:val="20"/>
        <w:szCs w:val="20"/>
        <w:lang w:val="en-us" w:eastAsia="en-us" w:bidi="en-us"/>
      </w:rPr>
    </w:lvl>
    <w:lvl w:ilvl="2">
      <w:start w:val="0"/>
      <w:numFmt w:val="bullet"/>
      <w:lvlText w:val="•"/>
      <w:lvlJc w:val="left"/>
      <w:pPr>
        <w:ind w:left="3120" w:hanging="560"/>
      </w:pPr>
      <w:rPr>
        <w:rFonts w:hint="default"/>
        <w:lang w:val="en-us" w:eastAsia="en-us" w:bidi="en-us"/>
      </w:rPr>
    </w:lvl>
    <w:lvl w:ilvl="3">
      <w:start w:val="0"/>
      <w:numFmt w:val="bullet"/>
      <w:lvlText w:val="•"/>
      <w:lvlJc w:val="left"/>
      <w:pPr>
        <w:ind w:left="4140" w:hanging="560"/>
      </w:pPr>
      <w:rPr>
        <w:rFonts w:hint="default"/>
        <w:lang w:val="en-us" w:eastAsia="en-us" w:bidi="en-us"/>
      </w:rPr>
    </w:lvl>
    <w:lvl w:ilvl="4">
      <w:start w:val="0"/>
      <w:numFmt w:val="bullet"/>
      <w:lvlText w:val="•"/>
      <w:lvlJc w:val="left"/>
      <w:pPr>
        <w:ind w:left="5160" w:hanging="560"/>
      </w:pPr>
      <w:rPr>
        <w:rFonts w:hint="default"/>
        <w:lang w:val="en-us" w:eastAsia="en-us" w:bidi="en-us"/>
      </w:rPr>
    </w:lvl>
    <w:lvl w:ilvl="5">
      <w:start w:val="0"/>
      <w:numFmt w:val="bullet"/>
      <w:lvlText w:val="•"/>
      <w:lvlJc w:val="left"/>
      <w:pPr>
        <w:ind w:left="6180" w:hanging="560"/>
      </w:pPr>
      <w:rPr>
        <w:rFonts w:hint="default"/>
        <w:lang w:val="en-us" w:eastAsia="en-us" w:bidi="en-us"/>
      </w:rPr>
    </w:lvl>
    <w:lvl w:ilvl="6">
      <w:start w:val="0"/>
      <w:numFmt w:val="bullet"/>
      <w:lvlText w:val="•"/>
      <w:lvlJc w:val="left"/>
      <w:pPr>
        <w:ind w:left="7200" w:hanging="560"/>
      </w:pPr>
      <w:rPr>
        <w:rFonts w:hint="default"/>
        <w:lang w:val="en-us" w:eastAsia="en-us" w:bidi="en-us"/>
      </w:rPr>
    </w:lvl>
    <w:lvl w:ilvl="7">
      <w:start w:val="0"/>
      <w:numFmt w:val="bullet"/>
      <w:lvlText w:val="•"/>
      <w:lvlJc w:val="left"/>
      <w:pPr>
        <w:ind w:left="8220" w:hanging="560"/>
      </w:pPr>
      <w:rPr>
        <w:rFonts w:hint="default"/>
        <w:lang w:val="en-us" w:eastAsia="en-us" w:bidi="en-us"/>
      </w:rPr>
    </w:lvl>
    <w:lvl w:ilvl="8">
      <w:start w:val="0"/>
      <w:numFmt w:val="bullet"/>
      <w:lvlText w:val="•"/>
      <w:lvlJc w:val="left"/>
      <w:pPr>
        <w:ind w:left="9240" w:hanging="560"/>
      </w:pPr>
      <w:rPr>
        <w:rFonts w:hint="default"/>
        <w:lang w:val="en-us" w:eastAsia="en-us" w:bidi="en-us"/>
      </w:rPr>
    </w:lvl>
  </w:abstractNum>
  <w:abstractNum w:abstractNumId="12">
    <w:multiLevelType w:val="hybridMultilevel"/>
    <w:lvl w:ilvl="0">
      <w:start w:val="1"/>
      <w:numFmt w:val="decimal"/>
      <w:lvlText w:val="%1)"/>
      <w:lvlJc w:val="left"/>
      <w:pPr>
        <w:ind w:left="2698" w:hanging="260"/>
        <w:jc w:val="left"/>
      </w:pPr>
      <w:rPr>
        <w:rFonts w:hint="default" w:ascii="Arial" w:hAnsi="Arial" w:eastAsia="Arial" w:cs="Arial"/>
        <w:spacing w:val="-1"/>
        <w:w w:val="100"/>
        <w:sz w:val="22"/>
        <w:szCs w:val="22"/>
        <w:lang w:val="en-us" w:eastAsia="en-us" w:bidi="en-us"/>
      </w:rPr>
    </w:lvl>
    <w:lvl w:ilvl="1">
      <w:start w:val="0"/>
      <w:numFmt w:val="bullet"/>
      <w:lvlText w:val="•"/>
      <w:lvlJc w:val="left"/>
      <w:pPr>
        <w:ind w:left="3558" w:hanging="260"/>
      </w:pPr>
      <w:rPr>
        <w:rFonts w:hint="default"/>
        <w:lang w:val="en-us" w:eastAsia="en-us" w:bidi="en-us"/>
      </w:rPr>
    </w:lvl>
    <w:lvl w:ilvl="2">
      <w:start w:val="0"/>
      <w:numFmt w:val="bullet"/>
      <w:lvlText w:val="•"/>
      <w:lvlJc w:val="left"/>
      <w:pPr>
        <w:ind w:left="4416" w:hanging="260"/>
      </w:pPr>
      <w:rPr>
        <w:rFonts w:hint="default"/>
        <w:lang w:val="en-us" w:eastAsia="en-us" w:bidi="en-us"/>
      </w:rPr>
    </w:lvl>
    <w:lvl w:ilvl="3">
      <w:start w:val="0"/>
      <w:numFmt w:val="bullet"/>
      <w:lvlText w:val="•"/>
      <w:lvlJc w:val="left"/>
      <w:pPr>
        <w:ind w:left="5274" w:hanging="260"/>
      </w:pPr>
      <w:rPr>
        <w:rFonts w:hint="default"/>
        <w:lang w:val="en-us" w:eastAsia="en-us" w:bidi="en-us"/>
      </w:rPr>
    </w:lvl>
    <w:lvl w:ilvl="4">
      <w:start w:val="0"/>
      <w:numFmt w:val="bullet"/>
      <w:lvlText w:val="•"/>
      <w:lvlJc w:val="left"/>
      <w:pPr>
        <w:ind w:left="6132" w:hanging="260"/>
      </w:pPr>
      <w:rPr>
        <w:rFonts w:hint="default"/>
        <w:lang w:val="en-us" w:eastAsia="en-us" w:bidi="en-us"/>
      </w:rPr>
    </w:lvl>
    <w:lvl w:ilvl="5">
      <w:start w:val="0"/>
      <w:numFmt w:val="bullet"/>
      <w:lvlText w:val="•"/>
      <w:lvlJc w:val="left"/>
      <w:pPr>
        <w:ind w:left="6990" w:hanging="260"/>
      </w:pPr>
      <w:rPr>
        <w:rFonts w:hint="default"/>
        <w:lang w:val="en-us" w:eastAsia="en-us" w:bidi="en-us"/>
      </w:rPr>
    </w:lvl>
    <w:lvl w:ilvl="6">
      <w:start w:val="0"/>
      <w:numFmt w:val="bullet"/>
      <w:lvlText w:val="•"/>
      <w:lvlJc w:val="left"/>
      <w:pPr>
        <w:ind w:left="7848" w:hanging="260"/>
      </w:pPr>
      <w:rPr>
        <w:rFonts w:hint="default"/>
        <w:lang w:val="en-us" w:eastAsia="en-us" w:bidi="en-us"/>
      </w:rPr>
    </w:lvl>
    <w:lvl w:ilvl="7">
      <w:start w:val="0"/>
      <w:numFmt w:val="bullet"/>
      <w:lvlText w:val="•"/>
      <w:lvlJc w:val="left"/>
      <w:pPr>
        <w:ind w:left="8706" w:hanging="260"/>
      </w:pPr>
      <w:rPr>
        <w:rFonts w:hint="default"/>
        <w:lang w:val="en-us" w:eastAsia="en-us" w:bidi="en-us"/>
      </w:rPr>
    </w:lvl>
    <w:lvl w:ilvl="8">
      <w:start w:val="0"/>
      <w:numFmt w:val="bullet"/>
      <w:lvlText w:val="•"/>
      <w:lvlJc w:val="left"/>
      <w:pPr>
        <w:ind w:left="9564" w:hanging="260"/>
      </w:pPr>
      <w:rPr>
        <w:rFonts w:hint="default"/>
        <w:lang w:val="en-us" w:eastAsia="en-us" w:bidi="en-us"/>
      </w:rPr>
    </w:lvl>
  </w:abstractNum>
  <w:abstractNum w:abstractNumId="11">
    <w:multiLevelType w:val="hybridMultilevel"/>
    <w:lvl w:ilvl="0">
      <w:start w:val="1"/>
      <w:numFmt w:val="upperLetter"/>
      <w:lvlText w:val="%1."/>
      <w:lvlJc w:val="left"/>
      <w:pPr>
        <w:ind w:left="1718" w:hanging="721"/>
        <w:jc w:val="left"/>
      </w:pPr>
      <w:rPr>
        <w:rFonts w:hint="default" w:ascii="Arial" w:hAnsi="Arial" w:eastAsia="Arial" w:cs="Arial"/>
        <w:b/>
        <w:bCs/>
        <w:spacing w:val="-6"/>
        <w:w w:val="100"/>
        <w:sz w:val="22"/>
        <w:szCs w:val="22"/>
        <w:lang w:val="en-us" w:eastAsia="en-us" w:bidi="en-us"/>
      </w:rPr>
    </w:lvl>
    <w:lvl w:ilvl="1">
      <w:start w:val="1"/>
      <w:numFmt w:val="decimal"/>
      <w:lvlText w:val="%2)"/>
      <w:lvlJc w:val="left"/>
      <w:pPr>
        <w:ind w:left="2439" w:hanging="260"/>
        <w:jc w:val="left"/>
      </w:pPr>
      <w:rPr>
        <w:rFonts w:hint="default" w:ascii="Arial" w:hAnsi="Arial" w:eastAsia="Arial" w:cs="Arial"/>
        <w:spacing w:val="-1"/>
        <w:w w:val="100"/>
        <w:sz w:val="22"/>
        <w:szCs w:val="22"/>
        <w:lang w:val="en-us" w:eastAsia="en-us" w:bidi="en-us"/>
      </w:rPr>
    </w:lvl>
    <w:lvl w:ilvl="2">
      <w:start w:val="0"/>
      <w:numFmt w:val="bullet"/>
      <w:lvlText w:val="•"/>
      <w:lvlJc w:val="left"/>
      <w:pPr>
        <w:ind w:left="3422" w:hanging="260"/>
      </w:pPr>
      <w:rPr>
        <w:rFonts w:hint="default"/>
        <w:lang w:val="en-us" w:eastAsia="en-us" w:bidi="en-us"/>
      </w:rPr>
    </w:lvl>
    <w:lvl w:ilvl="3">
      <w:start w:val="0"/>
      <w:numFmt w:val="bullet"/>
      <w:lvlText w:val="•"/>
      <w:lvlJc w:val="left"/>
      <w:pPr>
        <w:ind w:left="4404" w:hanging="260"/>
      </w:pPr>
      <w:rPr>
        <w:rFonts w:hint="default"/>
        <w:lang w:val="en-us" w:eastAsia="en-us" w:bidi="en-us"/>
      </w:rPr>
    </w:lvl>
    <w:lvl w:ilvl="4">
      <w:start w:val="0"/>
      <w:numFmt w:val="bullet"/>
      <w:lvlText w:val="•"/>
      <w:lvlJc w:val="left"/>
      <w:pPr>
        <w:ind w:left="5386" w:hanging="260"/>
      </w:pPr>
      <w:rPr>
        <w:rFonts w:hint="default"/>
        <w:lang w:val="en-us" w:eastAsia="en-us" w:bidi="en-us"/>
      </w:rPr>
    </w:lvl>
    <w:lvl w:ilvl="5">
      <w:start w:val="0"/>
      <w:numFmt w:val="bullet"/>
      <w:lvlText w:val="•"/>
      <w:lvlJc w:val="left"/>
      <w:pPr>
        <w:ind w:left="6368" w:hanging="260"/>
      </w:pPr>
      <w:rPr>
        <w:rFonts w:hint="default"/>
        <w:lang w:val="en-us" w:eastAsia="en-us" w:bidi="en-us"/>
      </w:rPr>
    </w:lvl>
    <w:lvl w:ilvl="6">
      <w:start w:val="0"/>
      <w:numFmt w:val="bullet"/>
      <w:lvlText w:val="•"/>
      <w:lvlJc w:val="left"/>
      <w:pPr>
        <w:ind w:left="7351" w:hanging="260"/>
      </w:pPr>
      <w:rPr>
        <w:rFonts w:hint="default"/>
        <w:lang w:val="en-us" w:eastAsia="en-us" w:bidi="en-us"/>
      </w:rPr>
    </w:lvl>
    <w:lvl w:ilvl="7">
      <w:start w:val="0"/>
      <w:numFmt w:val="bullet"/>
      <w:lvlText w:val="•"/>
      <w:lvlJc w:val="left"/>
      <w:pPr>
        <w:ind w:left="8333" w:hanging="260"/>
      </w:pPr>
      <w:rPr>
        <w:rFonts w:hint="default"/>
        <w:lang w:val="en-us" w:eastAsia="en-us" w:bidi="en-us"/>
      </w:rPr>
    </w:lvl>
    <w:lvl w:ilvl="8">
      <w:start w:val="0"/>
      <w:numFmt w:val="bullet"/>
      <w:lvlText w:val="•"/>
      <w:lvlJc w:val="left"/>
      <w:pPr>
        <w:ind w:left="9315" w:hanging="260"/>
      </w:pPr>
      <w:rPr>
        <w:rFonts w:hint="default"/>
        <w:lang w:val="en-us" w:eastAsia="en-us" w:bidi="en-us"/>
      </w:rPr>
    </w:lvl>
  </w:abstractNum>
  <w:abstractNum w:abstractNumId="10">
    <w:multiLevelType w:val="hybridMultilevel"/>
    <w:lvl w:ilvl="0">
      <w:start w:val="21"/>
      <w:numFmt w:val="upperLetter"/>
      <w:lvlText w:val="%1"/>
      <w:lvlJc w:val="left"/>
      <w:pPr>
        <w:ind w:left="998" w:hanging="493"/>
        <w:jc w:val="left"/>
      </w:pPr>
      <w:rPr>
        <w:rFonts w:hint="default"/>
        <w:lang w:val="en-us" w:eastAsia="en-us" w:bidi="en-us"/>
      </w:rPr>
    </w:lvl>
    <w:lvl w:ilvl="1">
      <w:start w:val="19"/>
      <w:numFmt w:val="upperLetter"/>
      <w:lvlText w:val="%1.%2."/>
      <w:lvlJc w:val="left"/>
      <w:pPr>
        <w:ind w:left="998" w:hanging="493"/>
        <w:jc w:val="left"/>
      </w:pPr>
      <w:rPr>
        <w:rFonts w:hint="default" w:ascii="Arial" w:hAnsi="Arial" w:eastAsia="Arial" w:cs="Arial"/>
        <w:spacing w:val="-2"/>
        <w:w w:val="100"/>
        <w:sz w:val="22"/>
        <w:szCs w:val="22"/>
        <w:lang w:val="en-us" w:eastAsia="en-us" w:bidi="en-us"/>
      </w:rPr>
    </w:lvl>
    <w:lvl w:ilvl="2">
      <w:start w:val="1"/>
      <w:numFmt w:val="decimal"/>
      <w:lvlText w:val="%3."/>
      <w:lvlJc w:val="left"/>
      <w:pPr>
        <w:ind w:left="1719" w:hanging="361"/>
        <w:jc w:val="right"/>
      </w:pPr>
      <w:rPr>
        <w:rFonts w:hint="default" w:ascii="Arial" w:hAnsi="Arial" w:eastAsia="Arial" w:cs="Arial"/>
        <w:b/>
        <w:bCs/>
        <w:spacing w:val="-1"/>
        <w:w w:val="100"/>
        <w:sz w:val="22"/>
        <w:szCs w:val="22"/>
        <w:lang w:val="en-us" w:eastAsia="en-us" w:bidi="en-us"/>
      </w:rPr>
    </w:lvl>
    <w:lvl w:ilvl="3">
      <w:start w:val="1"/>
      <w:numFmt w:val="upperLetter"/>
      <w:lvlText w:val="%4."/>
      <w:lvlJc w:val="left"/>
      <w:pPr>
        <w:ind w:left="1990" w:hanging="360"/>
        <w:jc w:val="left"/>
      </w:pPr>
      <w:rPr>
        <w:rFonts w:hint="default" w:ascii="Arial" w:hAnsi="Arial" w:eastAsia="Arial" w:cs="Arial"/>
        <w:b/>
        <w:bCs/>
        <w:spacing w:val="-6"/>
        <w:w w:val="100"/>
        <w:sz w:val="22"/>
        <w:szCs w:val="22"/>
        <w:lang w:val="en-us" w:eastAsia="en-us" w:bidi="en-us"/>
      </w:rPr>
    </w:lvl>
    <w:lvl w:ilvl="4">
      <w:start w:val="0"/>
      <w:numFmt w:val="bullet"/>
      <w:lvlText w:val="•"/>
      <w:lvlJc w:val="left"/>
      <w:pPr>
        <w:ind w:left="4320" w:hanging="360"/>
      </w:pPr>
      <w:rPr>
        <w:rFonts w:hint="default"/>
        <w:lang w:val="en-us" w:eastAsia="en-us" w:bidi="en-us"/>
      </w:rPr>
    </w:lvl>
    <w:lvl w:ilvl="5">
      <w:start w:val="0"/>
      <w:numFmt w:val="bullet"/>
      <w:lvlText w:val="•"/>
      <w:lvlJc w:val="left"/>
      <w:pPr>
        <w:ind w:left="5480" w:hanging="360"/>
      </w:pPr>
      <w:rPr>
        <w:rFonts w:hint="default"/>
        <w:lang w:val="en-us" w:eastAsia="en-us" w:bidi="en-us"/>
      </w:rPr>
    </w:lvl>
    <w:lvl w:ilvl="6">
      <w:start w:val="0"/>
      <w:numFmt w:val="bullet"/>
      <w:lvlText w:val="•"/>
      <w:lvlJc w:val="left"/>
      <w:pPr>
        <w:ind w:left="6640" w:hanging="360"/>
      </w:pPr>
      <w:rPr>
        <w:rFonts w:hint="default"/>
        <w:lang w:val="en-us" w:eastAsia="en-us" w:bidi="en-us"/>
      </w:rPr>
    </w:lvl>
    <w:lvl w:ilvl="7">
      <w:start w:val="0"/>
      <w:numFmt w:val="bullet"/>
      <w:lvlText w:val="•"/>
      <w:lvlJc w:val="left"/>
      <w:pPr>
        <w:ind w:left="7800" w:hanging="360"/>
      </w:pPr>
      <w:rPr>
        <w:rFonts w:hint="default"/>
        <w:lang w:val="en-us" w:eastAsia="en-us" w:bidi="en-us"/>
      </w:rPr>
    </w:lvl>
    <w:lvl w:ilvl="8">
      <w:start w:val="0"/>
      <w:numFmt w:val="bullet"/>
      <w:lvlText w:val="•"/>
      <w:lvlJc w:val="left"/>
      <w:pPr>
        <w:ind w:left="8960" w:hanging="360"/>
      </w:pPr>
      <w:rPr>
        <w:rFonts w:hint="default"/>
        <w:lang w:val="en-us" w:eastAsia="en-us" w:bidi="en-us"/>
      </w:rPr>
    </w:lvl>
  </w:abstractNum>
  <w:abstractNum w:abstractNumId="9">
    <w:multiLevelType w:val="hybridMultilevel"/>
    <w:lvl w:ilvl="0">
      <w:start w:val="1"/>
      <w:numFmt w:val="decimal"/>
      <w:lvlText w:val="%1."/>
      <w:lvlJc w:val="left"/>
      <w:pPr>
        <w:ind w:left="1820" w:hanging="360"/>
        <w:jc w:val="left"/>
      </w:pPr>
      <w:rPr>
        <w:rFonts w:hint="default" w:ascii="Arial" w:hAnsi="Arial" w:eastAsia="Arial" w:cs="Arial"/>
        <w:spacing w:val="-5"/>
        <w:w w:val="98"/>
        <w:sz w:val="24"/>
        <w:szCs w:val="24"/>
        <w:lang w:val="en-us" w:eastAsia="en-us" w:bidi="en-us"/>
      </w:rPr>
    </w:lvl>
    <w:lvl w:ilvl="1">
      <w:start w:val="0"/>
      <w:numFmt w:val="bullet"/>
      <w:lvlText w:val=""/>
      <w:lvlJc w:val="left"/>
      <w:pPr>
        <w:ind w:left="2180" w:hanging="360"/>
      </w:pPr>
      <w:rPr>
        <w:rFonts w:hint="default" w:ascii="Symbol" w:hAnsi="Symbol" w:eastAsia="Symbol" w:cs="Symbol"/>
        <w:w w:val="100"/>
        <w:sz w:val="24"/>
        <w:szCs w:val="24"/>
        <w:lang w:val="en-us" w:eastAsia="en-us" w:bidi="en-us"/>
      </w:rPr>
    </w:lvl>
    <w:lvl w:ilvl="2">
      <w:start w:val="0"/>
      <w:numFmt w:val="bullet"/>
      <w:lvlText w:val="•"/>
      <w:lvlJc w:val="left"/>
      <w:pPr>
        <w:ind w:left="3191" w:hanging="360"/>
      </w:pPr>
      <w:rPr>
        <w:rFonts w:hint="default"/>
        <w:lang w:val="en-us" w:eastAsia="en-us" w:bidi="en-us"/>
      </w:rPr>
    </w:lvl>
    <w:lvl w:ilvl="3">
      <w:start w:val="0"/>
      <w:numFmt w:val="bullet"/>
      <w:lvlText w:val="•"/>
      <w:lvlJc w:val="left"/>
      <w:pPr>
        <w:ind w:left="4202" w:hanging="360"/>
      </w:pPr>
      <w:rPr>
        <w:rFonts w:hint="default"/>
        <w:lang w:val="en-us" w:eastAsia="en-us" w:bidi="en-us"/>
      </w:rPr>
    </w:lvl>
    <w:lvl w:ilvl="4">
      <w:start w:val="0"/>
      <w:numFmt w:val="bullet"/>
      <w:lvlText w:val="•"/>
      <w:lvlJc w:val="left"/>
      <w:pPr>
        <w:ind w:left="5213" w:hanging="360"/>
      </w:pPr>
      <w:rPr>
        <w:rFonts w:hint="default"/>
        <w:lang w:val="en-us" w:eastAsia="en-us" w:bidi="en-us"/>
      </w:rPr>
    </w:lvl>
    <w:lvl w:ilvl="5">
      <w:start w:val="0"/>
      <w:numFmt w:val="bullet"/>
      <w:lvlText w:val="•"/>
      <w:lvlJc w:val="left"/>
      <w:pPr>
        <w:ind w:left="6224" w:hanging="360"/>
      </w:pPr>
      <w:rPr>
        <w:rFonts w:hint="default"/>
        <w:lang w:val="en-us" w:eastAsia="en-us" w:bidi="en-us"/>
      </w:rPr>
    </w:lvl>
    <w:lvl w:ilvl="6">
      <w:start w:val="0"/>
      <w:numFmt w:val="bullet"/>
      <w:lvlText w:val="•"/>
      <w:lvlJc w:val="left"/>
      <w:pPr>
        <w:ind w:left="7235" w:hanging="360"/>
      </w:pPr>
      <w:rPr>
        <w:rFonts w:hint="default"/>
        <w:lang w:val="en-us" w:eastAsia="en-us" w:bidi="en-us"/>
      </w:rPr>
    </w:lvl>
    <w:lvl w:ilvl="7">
      <w:start w:val="0"/>
      <w:numFmt w:val="bullet"/>
      <w:lvlText w:val="•"/>
      <w:lvlJc w:val="left"/>
      <w:pPr>
        <w:ind w:left="8246" w:hanging="360"/>
      </w:pPr>
      <w:rPr>
        <w:rFonts w:hint="default"/>
        <w:lang w:val="en-us" w:eastAsia="en-us" w:bidi="en-us"/>
      </w:rPr>
    </w:lvl>
    <w:lvl w:ilvl="8">
      <w:start w:val="0"/>
      <w:numFmt w:val="bullet"/>
      <w:lvlText w:val="•"/>
      <w:lvlJc w:val="left"/>
      <w:pPr>
        <w:ind w:left="9257" w:hanging="360"/>
      </w:pPr>
      <w:rPr>
        <w:rFonts w:hint="default"/>
        <w:lang w:val="en-us" w:eastAsia="en-us" w:bidi="en-us"/>
      </w:rPr>
    </w:lvl>
  </w:abstractNum>
  <w:abstractNum w:abstractNumId="8">
    <w:multiLevelType w:val="hybridMultilevel"/>
    <w:lvl w:ilvl="0">
      <w:start w:val="0"/>
      <w:numFmt w:val="bullet"/>
      <w:lvlText w:val="-"/>
      <w:lvlJc w:val="left"/>
      <w:pPr>
        <w:ind w:left="1260" w:hanging="180"/>
      </w:pPr>
      <w:rPr>
        <w:rFonts w:hint="default" w:ascii="Times New Roman" w:hAnsi="Times New Roman" w:eastAsia="Times New Roman" w:cs="Times New Roman"/>
        <w:w w:val="100"/>
        <w:sz w:val="22"/>
        <w:szCs w:val="22"/>
        <w:lang w:val="en-us" w:eastAsia="en-us" w:bidi="en-us"/>
      </w:rPr>
    </w:lvl>
    <w:lvl w:ilvl="1">
      <w:start w:val="0"/>
      <w:numFmt w:val="bullet"/>
      <w:lvlText w:val=""/>
      <w:lvlJc w:val="left"/>
      <w:pPr>
        <w:ind w:left="1719" w:hanging="361"/>
      </w:pPr>
      <w:rPr>
        <w:rFonts w:hint="default" w:ascii="Symbol" w:hAnsi="Symbol" w:eastAsia="Symbol" w:cs="Symbol"/>
        <w:w w:val="100"/>
        <w:sz w:val="22"/>
        <w:szCs w:val="22"/>
        <w:lang w:val="en-us" w:eastAsia="en-us" w:bidi="en-us"/>
      </w:rPr>
    </w:lvl>
    <w:lvl w:ilvl="2">
      <w:start w:val="0"/>
      <w:numFmt w:val="bullet"/>
      <w:lvlText w:val="•"/>
      <w:lvlJc w:val="left"/>
      <w:pPr>
        <w:ind w:left="2782" w:hanging="361"/>
      </w:pPr>
      <w:rPr>
        <w:rFonts w:hint="default"/>
        <w:lang w:val="en-us" w:eastAsia="en-us" w:bidi="en-us"/>
      </w:rPr>
    </w:lvl>
    <w:lvl w:ilvl="3">
      <w:start w:val="0"/>
      <w:numFmt w:val="bullet"/>
      <w:lvlText w:val="•"/>
      <w:lvlJc w:val="left"/>
      <w:pPr>
        <w:ind w:left="3844" w:hanging="361"/>
      </w:pPr>
      <w:rPr>
        <w:rFonts w:hint="default"/>
        <w:lang w:val="en-us" w:eastAsia="en-us" w:bidi="en-us"/>
      </w:rPr>
    </w:lvl>
    <w:lvl w:ilvl="4">
      <w:start w:val="0"/>
      <w:numFmt w:val="bullet"/>
      <w:lvlText w:val="•"/>
      <w:lvlJc w:val="left"/>
      <w:pPr>
        <w:ind w:left="4906" w:hanging="361"/>
      </w:pPr>
      <w:rPr>
        <w:rFonts w:hint="default"/>
        <w:lang w:val="en-us" w:eastAsia="en-us" w:bidi="en-us"/>
      </w:rPr>
    </w:lvl>
    <w:lvl w:ilvl="5">
      <w:start w:val="0"/>
      <w:numFmt w:val="bullet"/>
      <w:lvlText w:val="•"/>
      <w:lvlJc w:val="left"/>
      <w:pPr>
        <w:ind w:left="5968" w:hanging="361"/>
      </w:pPr>
      <w:rPr>
        <w:rFonts w:hint="default"/>
        <w:lang w:val="en-us" w:eastAsia="en-us" w:bidi="en-us"/>
      </w:rPr>
    </w:lvl>
    <w:lvl w:ilvl="6">
      <w:start w:val="0"/>
      <w:numFmt w:val="bullet"/>
      <w:lvlText w:val="•"/>
      <w:lvlJc w:val="left"/>
      <w:pPr>
        <w:ind w:left="7031" w:hanging="361"/>
      </w:pPr>
      <w:rPr>
        <w:rFonts w:hint="default"/>
        <w:lang w:val="en-us" w:eastAsia="en-us" w:bidi="en-us"/>
      </w:rPr>
    </w:lvl>
    <w:lvl w:ilvl="7">
      <w:start w:val="0"/>
      <w:numFmt w:val="bullet"/>
      <w:lvlText w:val="•"/>
      <w:lvlJc w:val="left"/>
      <w:pPr>
        <w:ind w:left="8093" w:hanging="361"/>
      </w:pPr>
      <w:rPr>
        <w:rFonts w:hint="default"/>
        <w:lang w:val="en-us" w:eastAsia="en-us" w:bidi="en-us"/>
      </w:rPr>
    </w:lvl>
    <w:lvl w:ilvl="8">
      <w:start w:val="0"/>
      <w:numFmt w:val="bullet"/>
      <w:lvlText w:val="•"/>
      <w:lvlJc w:val="left"/>
      <w:pPr>
        <w:ind w:left="9155" w:hanging="361"/>
      </w:pPr>
      <w:rPr>
        <w:rFonts w:hint="default"/>
        <w:lang w:val="en-us" w:eastAsia="en-us" w:bidi="en-us"/>
      </w:rPr>
    </w:lvl>
  </w:abstractNum>
  <w:abstractNum w:abstractNumId="7">
    <w:multiLevelType w:val="hybridMultilevel"/>
    <w:lvl w:ilvl="0">
      <w:start w:val="0"/>
      <w:numFmt w:val="bullet"/>
      <w:lvlText w:val=""/>
      <w:lvlJc w:val="left"/>
      <w:pPr>
        <w:ind w:left="1820" w:hanging="360"/>
      </w:pPr>
      <w:rPr>
        <w:rFonts w:hint="default" w:ascii="Symbol" w:hAnsi="Symbol" w:eastAsia="Symbol" w:cs="Symbol"/>
        <w:w w:val="100"/>
        <w:sz w:val="24"/>
        <w:szCs w:val="24"/>
        <w:lang w:val="en-us" w:eastAsia="en-us" w:bidi="en-us"/>
      </w:rPr>
    </w:lvl>
    <w:lvl w:ilvl="1">
      <w:start w:val="0"/>
      <w:numFmt w:val="bullet"/>
      <w:lvlText w:val="•"/>
      <w:lvlJc w:val="left"/>
      <w:pPr>
        <w:ind w:left="2766" w:hanging="360"/>
      </w:pPr>
      <w:rPr>
        <w:rFonts w:hint="default"/>
        <w:lang w:val="en-us" w:eastAsia="en-us" w:bidi="en-us"/>
      </w:rPr>
    </w:lvl>
    <w:lvl w:ilvl="2">
      <w:start w:val="0"/>
      <w:numFmt w:val="bullet"/>
      <w:lvlText w:val="•"/>
      <w:lvlJc w:val="left"/>
      <w:pPr>
        <w:ind w:left="3712" w:hanging="360"/>
      </w:pPr>
      <w:rPr>
        <w:rFonts w:hint="default"/>
        <w:lang w:val="en-us" w:eastAsia="en-us" w:bidi="en-us"/>
      </w:rPr>
    </w:lvl>
    <w:lvl w:ilvl="3">
      <w:start w:val="0"/>
      <w:numFmt w:val="bullet"/>
      <w:lvlText w:val="•"/>
      <w:lvlJc w:val="left"/>
      <w:pPr>
        <w:ind w:left="4658" w:hanging="360"/>
      </w:pPr>
      <w:rPr>
        <w:rFonts w:hint="default"/>
        <w:lang w:val="en-us" w:eastAsia="en-us" w:bidi="en-us"/>
      </w:rPr>
    </w:lvl>
    <w:lvl w:ilvl="4">
      <w:start w:val="0"/>
      <w:numFmt w:val="bullet"/>
      <w:lvlText w:val="•"/>
      <w:lvlJc w:val="left"/>
      <w:pPr>
        <w:ind w:left="5604" w:hanging="360"/>
      </w:pPr>
      <w:rPr>
        <w:rFonts w:hint="default"/>
        <w:lang w:val="en-us" w:eastAsia="en-us" w:bidi="en-us"/>
      </w:rPr>
    </w:lvl>
    <w:lvl w:ilvl="5">
      <w:start w:val="0"/>
      <w:numFmt w:val="bullet"/>
      <w:lvlText w:val="•"/>
      <w:lvlJc w:val="left"/>
      <w:pPr>
        <w:ind w:left="6550" w:hanging="360"/>
      </w:pPr>
      <w:rPr>
        <w:rFonts w:hint="default"/>
        <w:lang w:val="en-us" w:eastAsia="en-us" w:bidi="en-us"/>
      </w:rPr>
    </w:lvl>
    <w:lvl w:ilvl="6">
      <w:start w:val="0"/>
      <w:numFmt w:val="bullet"/>
      <w:lvlText w:val="•"/>
      <w:lvlJc w:val="left"/>
      <w:pPr>
        <w:ind w:left="7496" w:hanging="360"/>
      </w:pPr>
      <w:rPr>
        <w:rFonts w:hint="default"/>
        <w:lang w:val="en-us" w:eastAsia="en-us" w:bidi="en-us"/>
      </w:rPr>
    </w:lvl>
    <w:lvl w:ilvl="7">
      <w:start w:val="0"/>
      <w:numFmt w:val="bullet"/>
      <w:lvlText w:val="•"/>
      <w:lvlJc w:val="left"/>
      <w:pPr>
        <w:ind w:left="8442" w:hanging="360"/>
      </w:pPr>
      <w:rPr>
        <w:rFonts w:hint="default"/>
        <w:lang w:val="en-us" w:eastAsia="en-us" w:bidi="en-us"/>
      </w:rPr>
    </w:lvl>
    <w:lvl w:ilvl="8">
      <w:start w:val="0"/>
      <w:numFmt w:val="bullet"/>
      <w:lvlText w:val="•"/>
      <w:lvlJc w:val="left"/>
      <w:pPr>
        <w:ind w:left="9388" w:hanging="360"/>
      </w:pPr>
      <w:rPr>
        <w:rFonts w:hint="default"/>
        <w:lang w:val="en-us" w:eastAsia="en-us" w:bidi="en-us"/>
      </w:rPr>
    </w:lvl>
  </w:abstractNum>
  <w:abstractNum w:abstractNumId="6">
    <w:multiLevelType w:val="hybridMultilevel"/>
    <w:lvl w:ilvl="0">
      <w:start w:val="1"/>
      <w:numFmt w:val="upperLetter"/>
      <w:lvlText w:val="%1."/>
      <w:lvlJc w:val="left"/>
      <w:pPr>
        <w:ind w:left="2180" w:hanging="360"/>
        <w:jc w:val="right"/>
      </w:pPr>
      <w:rPr>
        <w:rFonts w:hint="default" w:ascii="Arial" w:hAnsi="Arial" w:eastAsia="Arial" w:cs="Arial"/>
        <w:b/>
        <w:bCs/>
        <w:spacing w:val="-11"/>
        <w:w w:val="98"/>
        <w:sz w:val="24"/>
        <w:szCs w:val="24"/>
        <w:lang w:val="en-us" w:eastAsia="en-us" w:bidi="en-us"/>
      </w:rPr>
    </w:lvl>
    <w:lvl w:ilvl="1">
      <w:start w:val="0"/>
      <w:numFmt w:val="bullet"/>
      <w:lvlText w:val=""/>
      <w:lvlJc w:val="left"/>
      <w:pPr>
        <w:ind w:left="2540" w:hanging="360"/>
      </w:pPr>
      <w:rPr>
        <w:rFonts w:hint="default" w:ascii="Symbol" w:hAnsi="Symbol" w:eastAsia="Symbol" w:cs="Symbol"/>
        <w:w w:val="100"/>
        <w:sz w:val="24"/>
        <w:szCs w:val="24"/>
        <w:lang w:val="en-us" w:eastAsia="en-us" w:bidi="en-us"/>
      </w:rPr>
    </w:lvl>
    <w:lvl w:ilvl="2">
      <w:start w:val="0"/>
      <w:numFmt w:val="bullet"/>
      <w:lvlText w:val="•"/>
      <w:lvlJc w:val="left"/>
      <w:pPr>
        <w:ind w:left="3511" w:hanging="360"/>
      </w:pPr>
      <w:rPr>
        <w:rFonts w:hint="default"/>
        <w:lang w:val="en-us" w:eastAsia="en-us" w:bidi="en-us"/>
      </w:rPr>
    </w:lvl>
    <w:lvl w:ilvl="3">
      <w:start w:val="0"/>
      <w:numFmt w:val="bullet"/>
      <w:lvlText w:val="•"/>
      <w:lvlJc w:val="left"/>
      <w:pPr>
        <w:ind w:left="4482" w:hanging="360"/>
      </w:pPr>
      <w:rPr>
        <w:rFonts w:hint="default"/>
        <w:lang w:val="en-us" w:eastAsia="en-us" w:bidi="en-us"/>
      </w:rPr>
    </w:lvl>
    <w:lvl w:ilvl="4">
      <w:start w:val="0"/>
      <w:numFmt w:val="bullet"/>
      <w:lvlText w:val="•"/>
      <w:lvlJc w:val="left"/>
      <w:pPr>
        <w:ind w:left="5453" w:hanging="360"/>
      </w:pPr>
      <w:rPr>
        <w:rFonts w:hint="default"/>
        <w:lang w:val="en-us" w:eastAsia="en-us" w:bidi="en-us"/>
      </w:rPr>
    </w:lvl>
    <w:lvl w:ilvl="5">
      <w:start w:val="0"/>
      <w:numFmt w:val="bullet"/>
      <w:lvlText w:val="•"/>
      <w:lvlJc w:val="left"/>
      <w:pPr>
        <w:ind w:left="6424" w:hanging="360"/>
      </w:pPr>
      <w:rPr>
        <w:rFonts w:hint="default"/>
        <w:lang w:val="en-us" w:eastAsia="en-us" w:bidi="en-us"/>
      </w:rPr>
    </w:lvl>
    <w:lvl w:ilvl="6">
      <w:start w:val="0"/>
      <w:numFmt w:val="bullet"/>
      <w:lvlText w:val="•"/>
      <w:lvlJc w:val="left"/>
      <w:pPr>
        <w:ind w:left="7395" w:hanging="360"/>
      </w:pPr>
      <w:rPr>
        <w:rFonts w:hint="default"/>
        <w:lang w:val="en-us" w:eastAsia="en-us" w:bidi="en-us"/>
      </w:rPr>
    </w:lvl>
    <w:lvl w:ilvl="7">
      <w:start w:val="0"/>
      <w:numFmt w:val="bullet"/>
      <w:lvlText w:val="•"/>
      <w:lvlJc w:val="left"/>
      <w:pPr>
        <w:ind w:left="8366" w:hanging="360"/>
      </w:pPr>
      <w:rPr>
        <w:rFonts w:hint="default"/>
        <w:lang w:val="en-us" w:eastAsia="en-us" w:bidi="en-us"/>
      </w:rPr>
    </w:lvl>
    <w:lvl w:ilvl="8">
      <w:start w:val="0"/>
      <w:numFmt w:val="bullet"/>
      <w:lvlText w:val="•"/>
      <w:lvlJc w:val="left"/>
      <w:pPr>
        <w:ind w:left="9337" w:hanging="360"/>
      </w:pPr>
      <w:rPr>
        <w:rFonts w:hint="default"/>
        <w:lang w:val="en-us" w:eastAsia="en-us" w:bidi="en-us"/>
      </w:rPr>
    </w:lvl>
  </w:abstractNum>
  <w:abstractNum w:abstractNumId="3">
    <w:multiLevelType w:val="hybridMultilevel"/>
    <w:lvl w:ilvl="0">
      <w:start w:val="0"/>
      <w:numFmt w:val="bullet"/>
      <w:lvlText w:val=""/>
      <w:lvlJc w:val="left"/>
      <w:pPr>
        <w:ind w:left="1719" w:hanging="361"/>
      </w:pPr>
      <w:rPr>
        <w:rFonts w:hint="default" w:ascii="Symbol" w:hAnsi="Symbol" w:eastAsia="Symbol" w:cs="Symbol"/>
        <w:w w:val="100"/>
        <w:sz w:val="22"/>
        <w:szCs w:val="22"/>
        <w:lang w:val="en-us" w:eastAsia="en-us" w:bidi="en-us"/>
      </w:rPr>
    </w:lvl>
    <w:lvl w:ilvl="1">
      <w:start w:val="0"/>
      <w:numFmt w:val="bullet"/>
      <w:lvlText w:val="•"/>
      <w:lvlJc w:val="left"/>
      <w:pPr>
        <w:ind w:left="2676" w:hanging="361"/>
      </w:pPr>
      <w:rPr>
        <w:rFonts w:hint="default"/>
        <w:lang w:val="en-us" w:eastAsia="en-us" w:bidi="en-us"/>
      </w:rPr>
    </w:lvl>
    <w:lvl w:ilvl="2">
      <w:start w:val="0"/>
      <w:numFmt w:val="bullet"/>
      <w:lvlText w:val="•"/>
      <w:lvlJc w:val="left"/>
      <w:pPr>
        <w:ind w:left="3632" w:hanging="361"/>
      </w:pPr>
      <w:rPr>
        <w:rFonts w:hint="default"/>
        <w:lang w:val="en-us" w:eastAsia="en-us" w:bidi="en-us"/>
      </w:rPr>
    </w:lvl>
    <w:lvl w:ilvl="3">
      <w:start w:val="0"/>
      <w:numFmt w:val="bullet"/>
      <w:lvlText w:val="•"/>
      <w:lvlJc w:val="left"/>
      <w:pPr>
        <w:ind w:left="4588" w:hanging="361"/>
      </w:pPr>
      <w:rPr>
        <w:rFonts w:hint="default"/>
        <w:lang w:val="en-us" w:eastAsia="en-us" w:bidi="en-us"/>
      </w:rPr>
    </w:lvl>
    <w:lvl w:ilvl="4">
      <w:start w:val="0"/>
      <w:numFmt w:val="bullet"/>
      <w:lvlText w:val="•"/>
      <w:lvlJc w:val="left"/>
      <w:pPr>
        <w:ind w:left="5544" w:hanging="361"/>
      </w:pPr>
      <w:rPr>
        <w:rFonts w:hint="default"/>
        <w:lang w:val="en-us" w:eastAsia="en-us" w:bidi="en-us"/>
      </w:rPr>
    </w:lvl>
    <w:lvl w:ilvl="5">
      <w:start w:val="0"/>
      <w:numFmt w:val="bullet"/>
      <w:lvlText w:val="•"/>
      <w:lvlJc w:val="left"/>
      <w:pPr>
        <w:ind w:left="6500" w:hanging="361"/>
      </w:pPr>
      <w:rPr>
        <w:rFonts w:hint="default"/>
        <w:lang w:val="en-us" w:eastAsia="en-us" w:bidi="en-us"/>
      </w:rPr>
    </w:lvl>
    <w:lvl w:ilvl="6">
      <w:start w:val="0"/>
      <w:numFmt w:val="bullet"/>
      <w:lvlText w:val="•"/>
      <w:lvlJc w:val="left"/>
      <w:pPr>
        <w:ind w:left="7456" w:hanging="361"/>
      </w:pPr>
      <w:rPr>
        <w:rFonts w:hint="default"/>
        <w:lang w:val="en-us" w:eastAsia="en-us" w:bidi="en-us"/>
      </w:rPr>
    </w:lvl>
    <w:lvl w:ilvl="7">
      <w:start w:val="0"/>
      <w:numFmt w:val="bullet"/>
      <w:lvlText w:val="•"/>
      <w:lvlJc w:val="left"/>
      <w:pPr>
        <w:ind w:left="8412" w:hanging="361"/>
      </w:pPr>
      <w:rPr>
        <w:rFonts w:hint="default"/>
        <w:lang w:val="en-us" w:eastAsia="en-us" w:bidi="en-us"/>
      </w:rPr>
    </w:lvl>
    <w:lvl w:ilvl="8">
      <w:start w:val="0"/>
      <w:numFmt w:val="bullet"/>
      <w:lvlText w:val="•"/>
      <w:lvlJc w:val="left"/>
      <w:pPr>
        <w:ind w:left="9368" w:hanging="361"/>
      </w:pPr>
      <w:rPr>
        <w:rFonts w:hint="default"/>
        <w:lang w:val="en-us" w:eastAsia="en-us" w:bidi="en-us"/>
      </w:rPr>
    </w:lvl>
  </w:abstractNum>
  <w:abstractNum w:abstractNumId="2">
    <w:multiLevelType w:val="hybridMultilevel"/>
    <w:lvl w:ilvl="0">
      <w:start w:val="1"/>
      <w:numFmt w:val="upperLetter"/>
      <w:lvlText w:val="%1."/>
      <w:lvlJc w:val="left"/>
      <w:pPr>
        <w:ind w:left="2079" w:hanging="361"/>
        <w:jc w:val="left"/>
      </w:pPr>
      <w:rPr>
        <w:rFonts w:hint="default" w:ascii="Arial" w:hAnsi="Arial" w:eastAsia="Arial" w:cs="Arial"/>
        <w:spacing w:val="-1"/>
        <w:w w:val="99"/>
        <w:sz w:val="20"/>
        <w:szCs w:val="20"/>
        <w:lang w:val="en-us" w:eastAsia="en-us" w:bidi="en-us"/>
      </w:rPr>
    </w:lvl>
    <w:lvl w:ilvl="1">
      <w:start w:val="0"/>
      <w:numFmt w:val="bullet"/>
      <w:lvlText w:val=""/>
      <w:lvlJc w:val="left"/>
      <w:pPr>
        <w:ind w:left="2859" w:hanging="360"/>
      </w:pPr>
      <w:rPr>
        <w:rFonts w:hint="default" w:ascii="Symbol" w:hAnsi="Symbol" w:eastAsia="Symbol" w:cs="Symbol"/>
        <w:w w:val="100"/>
        <w:sz w:val="24"/>
        <w:szCs w:val="24"/>
        <w:lang w:val="en-us" w:eastAsia="en-us" w:bidi="en-us"/>
      </w:rPr>
    </w:lvl>
    <w:lvl w:ilvl="2">
      <w:start w:val="0"/>
      <w:numFmt w:val="bullet"/>
      <w:lvlText w:val="o"/>
      <w:lvlJc w:val="left"/>
      <w:pPr>
        <w:ind w:left="3519" w:hanging="360"/>
      </w:pPr>
      <w:rPr>
        <w:rFonts w:hint="default" w:ascii="Courier New" w:hAnsi="Courier New" w:eastAsia="Courier New" w:cs="Courier New"/>
        <w:w w:val="99"/>
        <w:sz w:val="24"/>
        <w:szCs w:val="24"/>
        <w:lang w:val="en-us" w:eastAsia="en-us" w:bidi="en-us"/>
      </w:rPr>
    </w:lvl>
    <w:lvl w:ilvl="3">
      <w:start w:val="0"/>
      <w:numFmt w:val="bullet"/>
      <w:lvlText w:val="•"/>
      <w:lvlJc w:val="left"/>
      <w:pPr>
        <w:ind w:left="3160" w:hanging="360"/>
      </w:pPr>
      <w:rPr>
        <w:rFonts w:hint="default"/>
        <w:lang w:val="en-us" w:eastAsia="en-us" w:bidi="en-us"/>
      </w:rPr>
    </w:lvl>
    <w:lvl w:ilvl="4">
      <w:start w:val="0"/>
      <w:numFmt w:val="bullet"/>
      <w:lvlText w:val="•"/>
      <w:lvlJc w:val="left"/>
      <w:pPr>
        <w:ind w:left="3520" w:hanging="360"/>
      </w:pPr>
      <w:rPr>
        <w:rFonts w:hint="default"/>
        <w:lang w:val="en-us" w:eastAsia="en-us" w:bidi="en-us"/>
      </w:rPr>
    </w:lvl>
    <w:lvl w:ilvl="5">
      <w:start w:val="0"/>
      <w:numFmt w:val="bullet"/>
      <w:lvlText w:val="•"/>
      <w:lvlJc w:val="left"/>
      <w:pPr>
        <w:ind w:left="4813" w:hanging="360"/>
      </w:pPr>
      <w:rPr>
        <w:rFonts w:hint="default"/>
        <w:lang w:val="en-us" w:eastAsia="en-us" w:bidi="en-us"/>
      </w:rPr>
    </w:lvl>
    <w:lvl w:ilvl="6">
      <w:start w:val="0"/>
      <w:numFmt w:val="bullet"/>
      <w:lvlText w:val="•"/>
      <w:lvlJc w:val="left"/>
      <w:pPr>
        <w:ind w:left="6106" w:hanging="360"/>
      </w:pPr>
      <w:rPr>
        <w:rFonts w:hint="default"/>
        <w:lang w:val="en-us" w:eastAsia="en-us" w:bidi="en-us"/>
      </w:rPr>
    </w:lvl>
    <w:lvl w:ilvl="7">
      <w:start w:val="0"/>
      <w:numFmt w:val="bullet"/>
      <w:lvlText w:val="•"/>
      <w:lvlJc w:val="left"/>
      <w:pPr>
        <w:ind w:left="7400" w:hanging="360"/>
      </w:pPr>
      <w:rPr>
        <w:rFonts w:hint="default"/>
        <w:lang w:val="en-us" w:eastAsia="en-us" w:bidi="en-us"/>
      </w:rPr>
    </w:lvl>
    <w:lvl w:ilvl="8">
      <w:start w:val="0"/>
      <w:numFmt w:val="bullet"/>
      <w:lvlText w:val="•"/>
      <w:lvlJc w:val="left"/>
      <w:pPr>
        <w:ind w:left="8693" w:hanging="360"/>
      </w:pPr>
      <w:rPr>
        <w:rFonts w:hint="default"/>
        <w:lang w:val="en-us" w:eastAsia="en-us" w:bidi="en-us"/>
      </w:rPr>
    </w:lvl>
  </w:abstractNum>
  <w:abstractNum w:abstractNumId="1">
    <w:multiLevelType w:val="hybridMultilevel"/>
    <w:lvl w:ilvl="0">
      <w:start w:val="1"/>
      <w:numFmt w:val="decimal"/>
      <w:lvlText w:val="%1."/>
      <w:lvlJc w:val="left"/>
      <w:pPr>
        <w:ind w:left="1368" w:hanging="269"/>
        <w:jc w:val="left"/>
      </w:pPr>
      <w:rPr>
        <w:rFonts w:hint="default" w:ascii="Arial" w:hAnsi="Arial" w:eastAsia="Arial" w:cs="Arial"/>
        <w:b/>
        <w:bCs/>
        <w:w w:val="98"/>
        <w:sz w:val="24"/>
        <w:szCs w:val="24"/>
        <w:lang w:val="en-us" w:eastAsia="en-us" w:bidi="en-us"/>
      </w:rPr>
    </w:lvl>
    <w:lvl w:ilvl="1">
      <w:start w:val="0"/>
      <w:numFmt w:val="bullet"/>
      <w:lvlText w:val="•"/>
      <w:lvlJc w:val="left"/>
      <w:pPr>
        <w:ind w:left="1539" w:hanging="152"/>
      </w:pPr>
      <w:rPr>
        <w:rFonts w:hint="default" w:ascii="Arial" w:hAnsi="Arial" w:eastAsia="Arial" w:cs="Arial"/>
        <w:w w:val="98"/>
        <w:sz w:val="24"/>
        <w:szCs w:val="24"/>
        <w:lang w:val="en-us" w:eastAsia="en-us" w:bidi="en-us"/>
      </w:rPr>
    </w:lvl>
    <w:lvl w:ilvl="2">
      <w:start w:val="0"/>
      <w:numFmt w:val="bullet"/>
      <w:lvlText w:val="•"/>
      <w:lvlJc w:val="left"/>
      <w:pPr>
        <w:ind w:left="2622" w:hanging="152"/>
      </w:pPr>
      <w:rPr>
        <w:rFonts w:hint="default"/>
        <w:lang w:val="en-us" w:eastAsia="en-us" w:bidi="en-us"/>
      </w:rPr>
    </w:lvl>
    <w:lvl w:ilvl="3">
      <w:start w:val="0"/>
      <w:numFmt w:val="bullet"/>
      <w:lvlText w:val="•"/>
      <w:lvlJc w:val="left"/>
      <w:pPr>
        <w:ind w:left="3704" w:hanging="152"/>
      </w:pPr>
      <w:rPr>
        <w:rFonts w:hint="default"/>
        <w:lang w:val="en-us" w:eastAsia="en-us" w:bidi="en-us"/>
      </w:rPr>
    </w:lvl>
    <w:lvl w:ilvl="4">
      <w:start w:val="0"/>
      <w:numFmt w:val="bullet"/>
      <w:lvlText w:val="•"/>
      <w:lvlJc w:val="left"/>
      <w:pPr>
        <w:ind w:left="4786" w:hanging="152"/>
      </w:pPr>
      <w:rPr>
        <w:rFonts w:hint="default"/>
        <w:lang w:val="en-us" w:eastAsia="en-us" w:bidi="en-us"/>
      </w:rPr>
    </w:lvl>
    <w:lvl w:ilvl="5">
      <w:start w:val="0"/>
      <w:numFmt w:val="bullet"/>
      <w:lvlText w:val="•"/>
      <w:lvlJc w:val="left"/>
      <w:pPr>
        <w:ind w:left="5868" w:hanging="152"/>
      </w:pPr>
      <w:rPr>
        <w:rFonts w:hint="default"/>
        <w:lang w:val="en-us" w:eastAsia="en-us" w:bidi="en-us"/>
      </w:rPr>
    </w:lvl>
    <w:lvl w:ilvl="6">
      <w:start w:val="0"/>
      <w:numFmt w:val="bullet"/>
      <w:lvlText w:val="•"/>
      <w:lvlJc w:val="left"/>
      <w:pPr>
        <w:ind w:left="6951" w:hanging="152"/>
      </w:pPr>
      <w:rPr>
        <w:rFonts w:hint="default"/>
        <w:lang w:val="en-us" w:eastAsia="en-us" w:bidi="en-us"/>
      </w:rPr>
    </w:lvl>
    <w:lvl w:ilvl="7">
      <w:start w:val="0"/>
      <w:numFmt w:val="bullet"/>
      <w:lvlText w:val="•"/>
      <w:lvlJc w:val="left"/>
      <w:pPr>
        <w:ind w:left="8033" w:hanging="152"/>
      </w:pPr>
      <w:rPr>
        <w:rFonts w:hint="default"/>
        <w:lang w:val="en-us" w:eastAsia="en-us" w:bidi="en-us"/>
      </w:rPr>
    </w:lvl>
    <w:lvl w:ilvl="8">
      <w:start w:val="0"/>
      <w:numFmt w:val="bullet"/>
      <w:lvlText w:val="•"/>
      <w:lvlJc w:val="left"/>
      <w:pPr>
        <w:ind w:left="9115" w:hanging="152"/>
      </w:pPr>
      <w:rPr>
        <w:rFonts w:hint="default"/>
        <w:lang w:val="en-us" w:eastAsia="en-us" w:bidi="en-us"/>
      </w:rPr>
    </w:lvl>
  </w:abstractNum>
  <w:abstractNum w:abstractNumId="0">
    <w:multiLevelType w:val="hybridMultilevel"/>
    <w:lvl w:ilvl="0">
      <w:start w:val="1"/>
      <w:numFmt w:val="lowerLetter"/>
      <w:lvlText w:val="%1."/>
      <w:lvlJc w:val="left"/>
      <w:pPr>
        <w:ind w:left="1388" w:hanging="267"/>
        <w:jc w:val="left"/>
      </w:pPr>
      <w:rPr>
        <w:rFonts w:hint="default" w:ascii="Arial" w:hAnsi="Arial" w:eastAsia="Arial" w:cs="Arial"/>
        <w:spacing w:val="-3"/>
        <w:w w:val="98"/>
        <w:sz w:val="24"/>
        <w:szCs w:val="24"/>
        <w:lang w:val="en-us" w:eastAsia="en-us" w:bidi="en-us"/>
      </w:rPr>
    </w:lvl>
    <w:lvl w:ilvl="1">
      <w:start w:val="1"/>
      <w:numFmt w:val="decimal"/>
      <w:lvlText w:val="%2."/>
      <w:lvlJc w:val="left"/>
      <w:pPr>
        <w:ind w:left="1656" w:hanging="269"/>
        <w:jc w:val="left"/>
      </w:pPr>
      <w:rPr>
        <w:rFonts w:hint="default" w:ascii="Arial" w:hAnsi="Arial" w:eastAsia="Arial" w:cs="Arial"/>
        <w:b/>
        <w:bCs/>
        <w:w w:val="98"/>
        <w:sz w:val="24"/>
        <w:szCs w:val="24"/>
        <w:lang w:val="en-us" w:eastAsia="en-us" w:bidi="en-us"/>
      </w:rPr>
    </w:lvl>
    <w:lvl w:ilvl="2">
      <w:start w:val="0"/>
      <w:numFmt w:val="bullet"/>
      <w:lvlText w:val="•"/>
      <w:lvlJc w:val="left"/>
      <w:pPr>
        <w:ind w:left="2728" w:hanging="269"/>
      </w:pPr>
      <w:rPr>
        <w:rFonts w:hint="default"/>
        <w:lang w:val="en-us" w:eastAsia="en-us" w:bidi="en-us"/>
      </w:rPr>
    </w:lvl>
    <w:lvl w:ilvl="3">
      <w:start w:val="0"/>
      <w:numFmt w:val="bullet"/>
      <w:lvlText w:val="•"/>
      <w:lvlJc w:val="left"/>
      <w:pPr>
        <w:ind w:left="3797" w:hanging="269"/>
      </w:pPr>
      <w:rPr>
        <w:rFonts w:hint="default"/>
        <w:lang w:val="en-us" w:eastAsia="en-us" w:bidi="en-us"/>
      </w:rPr>
    </w:lvl>
    <w:lvl w:ilvl="4">
      <w:start w:val="0"/>
      <w:numFmt w:val="bullet"/>
      <w:lvlText w:val="•"/>
      <w:lvlJc w:val="left"/>
      <w:pPr>
        <w:ind w:left="4866" w:hanging="269"/>
      </w:pPr>
      <w:rPr>
        <w:rFonts w:hint="default"/>
        <w:lang w:val="en-us" w:eastAsia="en-us" w:bidi="en-us"/>
      </w:rPr>
    </w:lvl>
    <w:lvl w:ilvl="5">
      <w:start w:val="0"/>
      <w:numFmt w:val="bullet"/>
      <w:lvlText w:val="•"/>
      <w:lvlJc w:val="left"/>
      <w:pPr>
        <w:ind w:left="5935" w:hanging="269"/>
      </w:pPr>
      <w:rPr>
        <w:rFonts w:hint="default"/>
        <w:lang w:val="en-us" w:eastAsia="en-us" w:bidi="en-us"/>
      </w:rPr>
    </w:lvl>
    <w:lvl w:ilvl="6">
      <w:start w:val="0"/>
      <w:numFmt w:val="bullet"/>
      <w:lvlText w:val="•"/>
      <w:lvlJc w:val="left"/>
      <w:pPr>
        <w:ind w:left="7004" w:hanging="269"/>
      </w:pPr>
      <w:rPr>
        <w:rFonts w:hint="default"/>
        <w:lang w:val="en-us" w:eastAsia="en-us" w:bidi="en-us"/>
      </w:rPr>
    </w:lvl>
    <w:lvl w:ilvl="7">
      <w:start w:val="0"/>
      <w:numFmt w:val="bullet"/>
      <w:lvlText w:val="•"/>
      <w:lvlJc w:val="left"/>
      <w:pPr>
        <w:ind w:left="8073" w:hanging="269"/>
      </w:pPr>
      <w:rPr>
        <w:rFonts w:hint="default"/>
        <w:lang w:val="en-us" w:eastAsia="en-us" w:bidi="en-us"/>
      </w:rPr>
    </w:lvl>
    <w:lvl w:ilvl="8">
      <w:start w:val="0"/>
      <w:numFmt w:val="bullet"/>
      <w:lvlText w:val="•"/>
      <w:lvlJc w:val="left"/>
      <w:pPr>
        <w:ind w:left="9142" w:hanging="269"/>
      </w:pPr>
      <w:rPr>
        <w:rFonts w:hint="default"/>
        <w:lang w:val="en-us" w:eastAsia="en-us" w:bidi="en-us"/>
      </w:rPr>
    </w:lvl>
  </w:abstractNum>
  <w:num w:numId="6">
    <w:abstractNumId w:val="5"/>
  </w:num>
  <w:num w:numId="5">
    <w:abstractNumId w:val="4"/>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TOC1" w:type="paragraph">
    <w:name w:val="TOC 1"/>
    <w:basedOn w:val="Normal"/>
    <w:uiPriority w:val="1"/>
    <w:qFormat/>
    <w:pPr>
      <w:spacing w:before="276"/>
      <w:ind w:left="1100"/>
    </w:pPr>
    <w:rPr>
      <w:rFonts w:ascii="Arial" w:hAnsi="Arial" w:eastAsia="Arial" w:cs="Arial"/>
      <w:b/>
      <w:bCs/>
      <w:sz w:val="24"/>
      <w:szCs w:val="24"/>
      <w:u w:val="single" w:color="000000"/>
      <w:lang w:val="en-us" w:eastAsia="en-us" w:bidi="en-us"/>
    </w:rPr>
  </w:style>
  <w:style w:styleId="TOC2" w:type="paragraph">
    <w:name w:val="TOC 2"/>
    <w:basedOn w:val="Normal"/>
    <w:uiPriority w:val="1"/>
    <w:qFormat/>
    <w:pPr>
      <w:spacing w:before="137"/>
      <w:ind w:left="1368"/>
    </w:pPr>
    <w:rPr>
      <w:rFonts w:ascii="Arial" w:hAnsi="Arial" w:eastAsia="Arial" w:cs="Arial"/>
      <w:sz w:val="24"/>
      <w:szCs w:val="24"/>
      <w:lang w:val="en-us" w:eastAsia="en-us" w:bidi="en-us"/>
    </w:rPr>
  </w:style>
  <w:style w:styleId="BodyText" w:type="paragraph">
    <w:name w:val="Body Text"/>
    <w:basedOn w:val="Normal"/>
    <w:uiPriority w:val="1"/>
    <w:qFormat/>
    <w:pPr/>
    <w:rPr>
      <w:rFonts w:ascii="Arial" w:hAnsi="Arial" w:eastAsia="Arial" w:cs="Arial"/>
      <w:sz w:val="24"/>
      <w:szCs w:val="24"/>
      <w:lang w:val="en-us" w:eastAsia="en-us" w:bidi="en-us"/>
    </w:rPr>
  </w:style>
  <w:style w:styleId="Heading1" w:type="paragraph">
    <w:name w:val="Heading 1"/>
    <w:basedOn w:val="Normal"/>
    <w:uiPriority w:val="1"/>
    <w:qFormat/>
    <w:pPr>
      <w:spacing w:before="55"/>
      <w:ind w:left="1100"/>
      <w:outlineLvl w:val="1"/>
    </w:pPr>
    <w:rPr>
      <w:rFonts w:ascii="Arial" w:hAnsi="Arial" w:eastAsia="Arial" w:cs="Arial"/>
      <w:b/>
      <w:bCs/>
      <w:sz w:val="56"/>
      <w:szCs w:val="56"/>
      <w:lang w:val="en-us" w:eastAsia="en-us" w:bidi="en-us"/>
    </w:rPr>
  </w:style>
  <w:style w:styleId="Heading2" w:type="paragraph">
    <w:name w:val="Heading 2"/>
    <w:basedOn w:val="Normal"/>
    <w:uiPriority w:val="1"/>
    <w:qFormat/>
    <w:pPr>
      <w:spacing w:before="59"/>
      <w:ind w:left="1100"/>
      <w:outlineLvl w:val="2"/>
    </w:pPr>
    <w:rPr>
      <w:rFonts w:ascii="Arial" w:hAnsi="Arial" w:eastAsia="Arial" w:cs="Arial"/>
      <w:b/>
      <w:bCs/>
      <w:sz w:val="52"/>
      <w:szCs w:val="52"/>
      <w:lang w:val="en-us" w:eastAsia="en-us" w:bidi="en-us"/>
    </w:rPr>
  </w:style>
  <w:style w:styleId="Heading3" w:type="paragraph">
    <w:name w:val="Heading 3"/>
    <w:basedOn w:val="Normal"/>
    <w:uiPriority w:val="1"/>
    <w:qFormat/>
    <w:pPr>
      <w:spacing w:before="57"/>
      <w:ind w:left="2969" w:hanging="17"/>
      <w:outlineLvl w:val="3"/>
    </w:pPr>
    <w:rPr>
      <w:rFonts w:ascii="Arial" w:hAnsi="Arial" w:eastAsia="Arial" w:cs="Arial"/>
      <w:b/>
      <w:bCs/>
      <w:sz w:val="48"/>
      <w:szCs w:val="48"/>
      <w:u w:val="single" w:color="000000"/>
      <w:lang w:val="en-us" w:eastAsia="en-us" w:bidi="en-us"/>
    </w:rPr>
  </w:style>
  <w:style w:styleId="Heading4" w:type="paragraph">
    <w:name w:val="Heading 4"/>
    <w:basedOn w:val="Normal"/>
    <w:uiPriority w:val="1"/>
    <w:qFormat/>
    <w:pPr>
      <w:spacing w:before="57"/>
      <w:ind w:left="3173" w:right="143"/>
      <w:outlineLvl w:val="4"/>
    </w:pPr>
    <w:rPr>
      <w:rFonts w:ascii="Arial" w:hAnsi="Arial" w:eastAsia="Arial" w:cs="Arial"/>
      <w:b/>
      <w:bCs/>
      <w:sz w:val="44"/>
      <w:szCs w:val="44"/>
      <w:u w:val="single" w:color="000000"/>
      <w:lang w:val="en-us" w:eastAsia="en-us" w:bidi="en-us"/>
    </w:rPr>
  </w:style>
  <w:style w:styleId="Heading5" w:type="paragraph">
    <w:name w:val="Heading 5"/>
    <w:basedOn w:val="Normal"/>
    <w:uiPriority w:val="1"/>
    <w:qFormat/>
    <w:pPr>
      <w:ind w:left="1100"/>
      <w:outlineLvl w:val="5"/>
    </w:pPr>
    <w:rPr>
      <w:rFonts w:ascii="Arial" w:hAnsi="Arial" w:eastAsia="Arial" w:cs="Arial"/>
      <w:b/>
      <w:bCs/>
      <w:sz w:val="32"/>
      <w:szCs w:val="32"/>
      <w:u w:val="single" w:color="000000"/>
      <w:lang w:val="en-us" w:eastAsia="en-us" w:bidi="en-us"/>
    </w:rPr>
  </w:style>
  <w:style w:styleId="Heading6" w:type="paragraph">
    <w:name w:val="Heading 6"/>
    <w:basedOn w:val="Normal"/>
    <w:uiPriority w:val="1"/>
    <w:qFormat/>
    <w:pPr>
      <w:ind w:left="2079"/>
      <w:outlineLvl w:val="6"/>
    </w:pPr>
    <w:rPr>
      <w:rFonts w:ascii="Arial" w:hAnsi="Arial" w:eastAsia="Arial" w:cs="Arial"/>
      <w:b/>
      <w:bCs/>
      <w:sz w:val="28"/>
      <w:szCs w:val="28"/>
      <w:lang w:val="en-us" w:eastAsia="en-us" w:bidi="en-us"/>
    </w:rPr>
  </w:style>
  <w:style w:styleId="Heading7" w:type="paragraph">
    <w:name w:val="Heading 7"/>
    <w:basedOn w:val="Normal"/>
    <w:uiPriority w:val="1"/>
    <w:qFormat/>
    <w:pPr>
      <w:ind w:left="1080"/>
      <w:outlineLvl w:val="7"/>
    </w:pPr>
    <w:rPr>
      <w:rFonts w:ascii="Arial" w:hAnsi="Arial" w:eastAsia="Arial" w:cs="Arial"/>
      <w:b/>
      <w:bCs/>
      <w:i/>
      <w:sz w:val="28"/>
      <w:szCs w:val="28"/>
      <w:lang w:val="en-us" w:eastAsia="en-us" w:bidi="en-us"/>
    </w:rPr>
  </w:style>
  <w:style w:styleId="Heading8" w:type="paragraph">
    <w:name w:val="Heading 8"/>
    <w:basedOn w:val="Normal"/>
    <w:uiPriority w:val="1"/>
    <w:qFormat/>
    <w:pPr>
      <w:ind w:left="1100"/>
      <w:outlineLvl w:val="8"/>
    </w:pPr>
    <w:rPr>
      <w:rFonts w:ascii="Arial" w:hAnsi="Arial" w:eastAsia="Arial" w:cs="Arial"/>
      <w:b/>
      <w:bCs/>
      <w:sz w:val="24"/>
      <w:szCs w:val="24"/>
      <w:lang w:val="en-us" w:eastAsia="en-us" w:bidi="en-us"/>
    </w:rPr>
  </w:style>
  <w:style w:styleId="Heading9" w:type="paragraph">
    <w:name w:val="Heading 9"/>
    <w:basedOn w:val="Normal"/>
    <w:uiPriority w:val="1"/>
    <w:qFormat/>
    <w:pPr>
      <w:ind w:left="1100"/>
      <w:outlineLvl w:val="9"/>
    </w:pPr>
    <w:rPr>
      <w:rFonts w:ascii="Arial" w:hAnsi="Arial" w:eastAsia="Arial" w:cs="Arial"/>
      <w:b/>
      <w:bCs/>
      <w:i/>
      <w:sz w:val="24"/>
      <w:szCs w:val="24"/>
      <w:u w:val="single" w:color="000000"/>
      <w:lang w:val="en-us" w:eastAsia="en-us" w:bidi="en-us"/>
    </w:rPr>
  </w:style>
  <w:style w:styleId="ListParagraph" w:type="paragraph">
    <w:name w:val="List Paragraph"/>
    <w:basedOn w:val="Normal"/>
    <w:uiPriority w:val="1"/>
    <w:qFormat/>
    <w:pPr>
      <w:ind w:left="1820" w:hanging="360"/>
    </w:pPr>
    <w:rPr>
      <w:rFonts w:ascii="Arial" w:hAnsi="Arial" w:eastAsia="Arial" w:cs="Arial"/>
      <w:lang w:val="en-us" w:eastAsia="en-us" w:bidi="en-us"/>
    </w:rPr>
  </w:style>
  <w:style w:styleId="TableParagraph" w:type="paragraph">
    <w:name w:val="Table Paragraph"/>
    <w:basedOn w:val="Normal"/>
    <w:uiPriority w:val="1"/>
    <w:qFormat/>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footer" Target="footer1.xml"/><Relationship Id="rId11" Type="http://schemas.openxmlformats.org/officeDocument/2006/relationships/image" Target="media/image6.jpeg"/><Relationship Id="rId12" Type="http://schemas.openxmlformats.org/officeDocument/2006/relationships/hyperlink" Target="http://www.srh.noaa.gov/ridge2/fire/docs/2012_National_Agreement.pdf" TargetMode="External"/><Relationship Id="rId13" Type="http://schemas.openxmlformats.org/officeDocument/2006/relationships/hyperlink" Target="http://www.nws.noaa.gov/directives/sym/pd01004curr.pdf" TargetMode="External"/><Relationship Id="rId14" Type="http://schemas.openxmlformats.org/officeDocument/2006/relationships/hyperlink" Target="https://www.nifc.gov/nicc/mobguide/index.html" TargetMode="External"/><Relationship Id="rId15" Type="http://schemas.openxmlformats.org/officeDocument/2006/relationships/hyperlink" Target="https://gacc.nifc.gov/nwcc/admin/publications.aspx" TargetMode="External"/><Relationship Id="rId16" Type="http://schemas.openxmlformats.org/officeDocument/2006/relationships/hyperlink" Target="http://www.weather.gov/ndfd/resources/NDFD_element_status.pdf" TargetMode="External"/><Relationship Id="rId17" Type="http://schemas.openxmlformats.org/officeDocument/2006/relationships/hyperlink" Target="http://graphical.weather.gov/sectors/pacnorthwestFireDay.php#tabs" TargetMode="External"/><Relationship Id="rId18" Type="http://schemas.openxmlformats.org/officeDocument/2006/relationships/hyperlink" Target="http://www.weather.gov/directives/sym/pd01004001curr.pdf" TargetMode="External"/><Relationship Id="rId19" Type="http://schemas.openxmlformats.org/officeDocument/2006/relationships/hyperlink" Target="http://www.srh.noaa.gov/ridge2/fire/docs/WS_FORM_D_SPOT.pdf" TargetMode="External"/><Relationship Id="rId20" Type="http://schemas.openxmlformats.org/officeDocument/2006/relationships/hyperlink" Target="http://www.wrh.noaa.gov/sew/NW_SpotRequestInstructions.pdf" TargetMode="External"/><Relationship Id="rId21" Type="http://schemas.openxmlformats.org/officeDocument/2006/relationships/hyperlink" Target="http://www.weather.gov/fire" TargetMode="External"/><Relationship Id="rId22" Type="http://schemas.openxmlformats.org/officeDocument/2006/relationships/hyperlink" Target="http://www.nws.noaa.gov/directives/sym/pd01004004curr.pdf" TargetMode="External"/><Relationship Id="rId23" Type="http://schemas.openxmlformats.org/officeDocument/2006/relationships/image" Target="media/image7.jpeg"/><Relationship Id="rId24" Type="http://schemas.openxmlformats.org/officeDocument/2006/relationships/footer" Target="footer2.xml"/><Relationship Id="rId25" Type="http://schemas.openxmlformats.org/officeDocument/2006/relationships/image" Target="media/image8.jpeg"/><Relationship Id="rId26" Type="http://schemas.openxmlformats.org/officeDocument/2006/relationships/hyperlink" Target="mailto:jsaltenb@blm.gov" TargetMode="External"/><Relationship Id="rId27" Type="http://schemas.openxmlformats.org/officeDocument/2006/relationships/hyperlink" Target="mailto:Eric.Wise@bia.gov" TargetMode="External"/><Relationship Id="rId28" Type="http://schemas.openxmlformats.org/officeDocument/2006/relationships/hyperlink" Target="mailto:mramirez@blm.gov" TargetMode="External"/><Relationship Id="rId29" Type="http://schemas.openxmlformats.org/officeDocument/2006/relationships/hyperlink" Target="mailto:bhaney@blm.gov" TargetMode="External"/><Relationship Id="rId30" Type="http://schemas.openxmlformats.org/officeDocument/2006/relationships/hyperlink" Target="http://gacc.nifc.gov/nwcc/" TargetMode="External"/><Relationship Id="rId31" Type="http://schemas.openxmlformats.org/officeDocument/2006/relationships/hyperlink" Target="https://gacc.nifc.gov/nwcc/content/products/fwx/guidance/DL.pdf" TargetMode="External"/><Relationship Id="rId32" Type="http://schemas.openxmlformats.org/officeDocument/2006/relationships/hyperlink" Target="https://psgeodata.fs.fed.us/forecast/%23/outlooks?state=map" TargetMode="External"/><Relationship Id="rId33" Type="http://schemas.openxmlformats.org/officeDocument/2006/relationships/hyperlink" Target="http://gacc.nifc.gov/nwcc/brief" TargetMode="External"/><Relationship Id="rId34" Type="http://schemas.openxmlformats.org/officeDocument/2006/relationships/hyperlink" Target="http://gacc.nifc.gov/nwcc/content/products/fwx/MonthlySeasonal.pdf" TargetMode="External"/><Relationship Id="rId35" Type="http://schemas.openxmlformats.org/officeDocument/2006/relationships/hyperlink" Target="http://gacc.nifc.gov/nwcc/content/products/fwx/MonthlySeasonal.ppt" TargetMode="External"/><Relationship Id="rId36" Type="http://schemas.openxmlformats.org/officeDocument/2006/relationships/hyperlink" Target="http://gacc.nifc.gov/nwcc/content/videos/Monthly_Seasonal.mp4" TargetMode="External"/><Relationship Id="rId37" Type="http://schemas.openxmlformats.org/officeDocument/2006/relationships/hyperlink" Target="http://www.predictiveservices.nifc.gov/outlooks/outlooks.htm" TargetMode="External"/><Relationship Id="rId38" Type="http://schemas.openxmlformats.org/officeDocument/2006/relationships/hyperlink" Target="https://www.predictiveservices.nifc.gov/fuels_fire-danger/Fuels_FireBehavior_Advisories.png" TargetMode="External"/><Relationship Id="rId39" Type="http://schemas.openxmlformats.org/officeDocument/2006/relationships/hyperlink" Target="https://gacc.nifc.gov/nwcc/predict/fire_fuel.aspx" TargetMode="External"/><Relationship Id="rId40" Type="http://schemas.openxmlformats.org/officeDocument/2006/relationships/hyperlink" Target="https://gacc.nifc.gov/nwcc/predict/intelligence.aspx" TargetMode="External"/><Relationship Id="rId41" Type="http://schemas.openxmlformats.org/officeDocument/2006/relationships/hyperlink" Target="https://gacc.nifc.gov/nwcc/predict/gis.aspx" TargetMode="External"/><Relationship Id="rId42" Type="http://schemas.openxmlformats.org/officeDocument/2006/relationships/hyperlink" Target="https://gacc.nifc.gov/nwcc/content/products/fwx/fdrop/FDROP.pdf" TargetMode="External"/><Relationship Id="rId43" Type="http://schemas.openxmlformats.org/officeDocument/2006/relationships/image" Target="media/image9.jpeg"/><Relationship Id="rId44" Type="http://schemas.openxmlformats.org/officeDocument/2006/relationships/footer" Target="footer3.xml"/><Relationship Id="rId45" Type="http://schemas.openxmlformats.org/officeDocument/2006/relationships/hyperlink" Target="http://www.wrh.noaa.gov/firewx/?wfo=boi" TargetMode="External"/><Relationship Id="rId46" Type="http://schemas.openxmlformats.org/officeDocument/2006/relationships/hyperlink" Target="https://www.facebook.com/US.NationalWeatherService.Boise.gov" TargetMode="External"/><Relationship Id="rId47" Type="http://schemas.openxmlformats.org/officeDocument/2006/relationships/hyperlink" Target="https://twitter.com/NWSBoise" TargetMode="External"/><Relationship Id="rId48" Type="http://schemas.openxmlformats.org/officeDocument/2006/relationships/hyperlink" Target="mailto:Chuck.Redman@noaa.gov" TargetMode="External"/><Relationship Id="rId49" Type="http://schemas.openxmlformats.org/officeDocument/2006/relationships/hyperlink" Target="mailto:Michael.Cantin@noaa.gov" TargetMode="External"/><Relationship Id="rId50" Type="http://schemas.openxmlformats.org/officeDocument/2006/relationships/image" Target="media/image10.jpeg"/><Relationship Id="rId51" Type="http://schemas.openxmlformats.org/officeDocument/2006/relationships/hyperlink" Target="http://www.weather.gov/spot/" TargetMode="External"/><Relationship Id="rId52" Type="http://schemas.openxmlformats.org/officeDocument/2006/relationships/footer" Target="footer4.xml"/><Relationship Id="rId53" Type="http://schemas.openxmlformats.org/officeDocument/2006/relationships/footer" Target="footer5.xml"/><Relationship Id="rId54" Type="http://schemas.openxmlformats.org/officeDocument/2006/relationships/hyperlink" Target="http://www.wrh.noaa.gov/mfr" TargetMode="External"/><Relationship Id="rId55" Type="http://schemas.openxmlformats.org/officeDocument/2006/relationships/hyperlink" Target="https://www.facebook.com/NWSMedford?ref=ts" TargetMode="External"/><Relationship Id="rId56" Type="http://schemas.openxmlformats.org/officeDocument/2006/relationships/hyperlink" Target="https://twitter.com/NWSMedford" TargetMode="External"/><Relationship Id="rId57" Type="http://schemas.openxmlformats.org/officeDocument/2006/relationships/image" Target="media/image11.jpeg"/><Relationship Id="rId58" Type="http://schemas.openxmlformats.org/officeDocument/2006/relationships/hyperlink" Target="http://www.wrh.noaa.gov/mfr/fire/eccda.php" TargetMode="External"/><Relationship Id="rId59" Type="http://schemas.openxmlformats.org/officeDocument/2006/relationships/hyperlink" Target="https://attendee.gotowebinar.com/register/4494675281321657858" TargetMode="External"/><Relationship Id="rId60" Type="http://schemas.openxmlformats.org/officeDocument/2006/relationships/hyperlink" Target="http://www.wrh.noaa.gov/mfr/fire/Briefing.wmv" TargetMode="External"/><Relationship Id="rId61" Type="http://schemas.openxmlformats.org/officeDocument/2006/relationships/hyperlink" Target="http://www.weather.gov/spot/request/" TargetMode="External"/><Relationship Id="rId62" Type="http://schemas.openxmlformats.org/officeDocument/2006/relationships/footer" Target="footer6.xml"/><Relationship Id="rId63" Type="http://schemas.openxmlformats.org/officeDocument/2006/relationships/image" Target="media/image12.jpeg"/><Relationship Id="rId64" Type="http://schemas.openxmlformats.org/officeDocument/2006/relationships/image" Target="media/image13.jpeg"/><Relationship Id="rId65" Type="http://schemas.openxmlformats.org/officeDocument/2006/relationships/footer" Target="footer7.xml"/><Relationship Id="rId66" Type="http://schemas.openxmlformats.org/officeDocument/2006/relationships/hyperlink" Target="http://www.weather.gov/pendleton" TargetMode="External"/><Relationship Id="rId67" Type="http://schemas.openxmlformats.org/officeDocument/2006/relationships/hyperlink" Target="https://www.wrh.noaa.gov/fire2/?wfo=pdt" TargetMode="External"/><Relationship Id="rId68" Type="http://schemas.openxmlformats.org/officeDocument/2006/relationships/hyperlink" Target="https://www.facebook.com/US.NationalWeatherService.Pendleton.gov" TargetMode="External"/><Relationship Id="rId69" Type="http://schemas.openxmlformats.org/officeDocument/2006/relationships/hyperlink" Target="https://twitter.com/NWSPendleton" TargetMode="External"/><Relationship Id="rId70" Type="http://schemas.openxmlformats.org/officeDocument/2006/relationships/hyperlink" Target="mailto:michael.vescio@noaa.gov" TargetMode="External"/><Relationship Id="rId71" Type="http://schemas.openxmlformats.org/officeDocument/2006/relationships/hyperlink" Target="mailto:zaaron.allen@noaa.gov" TargetMode="External"/><Relationship Id="rId72" Type="http://schemas.openxmlformats.org/officeDocument/2006/relationships/hyperlink" Target="mailto:mary.wister@noaa.gov" TargetMode="External"/><Relationship Id="rId73" Type="http://schemas.openxmlformats.org/officeDocument/2006/relationships/hyperlink" Target="http://www.wrh.noaa.gov/pdt/forecast/fwxBriefing.php" TargetMode="External"/><Relationship Id="rId74" Type="http://schemas.openxmlformats.org/officeDocument/2006/relationships/hyperlink" Target="http://www.wrh.noaa.gov/pdt/forecast/fwxGraphicalVentilation.php?wfo=pdt" TargetMode="External"/><Relationship Id="rId75" Type="http://schemas.openxmlformats.org/officeDocument/2006/relationships/footer" Target="footer8.xml"/><Relationship Id="rId76" Type="http://schemas.openxmlformats.org/officeDocument/2006/relationships/image" Target="media/image14.png"/><Relationship Id="rId77" Type="http://schemas.openxmlformats.org/officeDocument/2006/relationships/image" Target="media/image15.jpeg"/><Relationship Id="rId78" Type="http://schemas.openxmlformats.org/officeDocument/2006/relationships/image" Target="media/image16.png"/><Relationship Id="rId79" Type="http://schemas.openxmlformats.org/officeDocument/2006/relationships/footer" Target="footer9.xml"/><Relationship Id="rId80" Type="http://schemas.openxmlformats.org/officeDocument/2006/relationships/hyperlink" Target="http://www.wrh.noaa.gov/firewx/?wfo=pqr" TargetMode="External"/><Relationship Id="rId81" Type="http://schemas.openxmlformats.org/officeDocument/2006/relationships/hyperlink" Target="http://www.facebook.com/US.NationalWeatherService.Portland.gov" TargetMode="External"/><Relationship Id="rId82" Type="http://schemas.openxmlformats.org/officeDocument/2006/relationships/hyperlink" Target="https://www.twitter.com/NWSPortland" TargetMode="External"/><Relationship Id="rId83" Type="http://schemas.openxmlformats.org/officeDocument/2006/relationships/hyperlink" Target="mailto:scott.weishaar@noaa.gov" TargetMode="External"/><Relationship Id="rId84" Type="http://schemas.openxmlformats.org/officeDocument/2006/relationships/hyperlink" Target="NULL" TargetMode="External"/><Relationship Id="rId85" Type="http://schemas.openxmlformats.org/officeDocument/2006/relationships/hyperlink" Target="http://digital.weather.gov/" TargetMode="External"/><Relationship Id="rId86" Type="http://schemas.openxmlformats.org/officeDocument/2006/relationships/hyperlink" Target="https://www.weather.gov/spot/request/" TargetMode="External"/><Relationship Id="rId87" Type="http://schemas.openxmlformats.org/officeDocument/2006/relationships/hyperlink" Target="https://gacc.nifc.gov/nwcc/" TargetMode="External"/><Relationship Id="rId88" Type="http://schemas.openxmlformats.org/officeDocument/2006/relationships/hyperlink" Target="http://www.wrh.noaa.gov/pqr/fwb.php" TargetMode="External"/><Relationship Id="rId89" Type="http://schemas.openxmlformats.org/officeDocument/2006/relationships/hyperlink" Target="mailto:shawn.weagle@noaa.gov" TargetMode="External"/><Relationship Id="rId90" Type="http://schemas.openxmlformats.org/officeDocument/2006/relationships/footer" Target="footer10.xml"/><Relationship Id="rId91" Type="http://schemas.openxmlformats.org/officeDocument/2006/relationships/image" Target="media/image17.jpeg"/><Relationship Id="rId92" Type="http://schemas.openxmlformats.org/officeDocument/2006/relationships/footer" Target="footer11.xml"/><Relationship Id="rId93" Type="http://schemas.openxmlformats.org/officeDocument/2006/relationships/hyperlink" Target="https://www.wrh.noaa.gov/fire2/?wfo=sew" TargetMode="External"/><Relationship Id="rId94" Type="http://schemas.openxmlformats.org/officeDocument/2006/relationships/hyperlink" Target="mailto:logan.johnson@noaa.gov" TargetMode="External"/><Relationship Id="rId95" Type="http://schemas.openxmlformats.org/officeDocument/2006/relationships/hyperlink" Target="mailto:andrew.haner@noaa.gov" TargetMode="External"/><Relationship Id="rId96" Type="http://schemas.openxmlformats.org/officeDocument/2006/relationships/hyperlink" Target="mailto:steve.reedy@noaa.gov" TargetMode="External"/><Relationship Id="rId97" Type="http://schemas.openxmlformats.org/officeDocument/2006/relationships/hyperlink" Target="mailto:brent.bower@noaa.gov" TargetMode="External"/><Relationship Id="rId98" Type="http://schemas.openxmlformats.org/officeDocument/2006/relationships/hyperlink" Target="mailto:kirby.cook@noaa.gov" TargetMode="External"/><Relationship Id="rId99" Type="http://schemas.openxmlformats.org/officeDocument/2006/relationships/hyperlink" Target="http://www.weather.gov/seattle" TargetMode="External"/><Relationship Id="rId100" Type="http://schemas.openxmlformats.org/officeDocument/2006/relationships/hyperlink" Target="https://www.facebook.com/US.NationalWeatherService.Seattle.gov" TargetMode="External"/><Relationship Id="rId101" Type="http://schemas.openxmlformats.org/officeDocument/2006/relationships/hyperlink" Target="https://twitter.com/NWSSeattle" TargetMode="External"/><Relationship Id="rId102" Type="http://schemas.openxmlformats.org/officeDocument/2006/relationships/image" Target="media/image18.jpeg"/><Relationship Id="rId103" Type="http://schemas.openxmlformats.org/officeDocument/2006/relationships/hyperlink" Target="http://www.wrh.noaa.gov/total_forecast/getprod.php?wfo=sew&amp;amp;pil=RFW&amp;amp;sid=sew" TargetMode="External"/><Relationship Id="rId104" Type="http://schemas.openxmlformats.org/officeDocument/2006/relationships/hyperlink" Target="http://www.wrh.noaa.gov/total_forecast/getprod.php?wfo=sew&amp;amp;pil=FWF&amp;amp;sid=sew" TargetMode="External"/><Relationship Id="rId105" Type="http://schemas.openxmlformats.org/officeDocument/2006/relationships/hyperlink" Target="http://www.wrh.noaa.gov/total_forecast/getprod.php?wfo=sew&amp;amp;pil=AFD&amp;amp;sid=sew" TargetMode="External"/><Relationship Id="rId106" Type="http://schemas.openxmlformats.org/officeDocument/2006/relationships/footer" Target="footer12.xml"/><Relationship Id="rId107" Type="http://schemas.openxmlformats.org/officeDocument/2006/relationships/hyperlink" Target="https://www.wrh.noaa.gov/FIRE2" TargetMode="External"/><Relationship Id="rId108" Type="http://schemas.openxmlformats.org/officeDocument/2006/relationships/hyperlink" Target="https://www.wrh.noaa.gov/fire2/main.php" TargetMode="External"/><Relationship Id="rId109" Type="http://schemas.openxmlformats.org/officeDocument/2006/relationships/hyperlink" Target="mailto:andrew.brown@noaa.gov" TargetMode="External"/><Relationship Id="rId110" Type="http://schemas.openxmlformats.org/officeDocument/2006/relationships/hyperlink" Target="mailto:ronald.miller@noaa.gov" TargetMode="External"/><Relationship Id="rId111" Type="http://schemas.openxmlformats.org/officeDocument/2006/relationships/hyperlink" Target="mailto:robert.tobin@noaa.gov" TargetMode="External"/><Relationship Id="rId112" Type="http://schemas.openxmlformats.org/officeDocument/2006/relationships/hyperlink" Target="http://www.wrh.noaa.gov/otx" TargetMode="External"/><Relationship Id="rId113" Type="http://schemas.openxmlformats.org/officeDocument/2006/relationships/hyperlink" Target="http://www.weather.gov/spokane" TargetMode="External"/><Relationship Id="rId114" Type="http://schemas.openxmlformats.org/officeDocument/2006/relationships/hyperlink" Target="http://www.wrh.noaa.gov/firewx/?wfo=otx" TargetMode="External"/><Relationship Id="rId115" Type="http://schemas.openxmlformats.org/officeDocument/2006/relationships/hyperlink" Target="http://www.twitter.com/NWSSpokane" TargetMode="External"/><Relationship Id="rId116" Type="http://schemas.openxmlformats.org/officeDocument/2006/relationships/hyperlink" Target="https://www.youtube.com/watch?v=4Or6flTaAHM&amp;amp;amp%3Bfeature=youtu.be" TargetMode="External"/><Relationship Id="rId117" Type="http://schemas.openxmlformats.org/officeDocument/2006/relationships/hyperlink" Target="http://www.weather.gov/spot/monitor/" TargetMode="External"/><Relationship Id="rId118" Type="http://schemas.openxmlformats.org/officeDocument/2006/relationships/footer" Target="footer13.xml"/><Relationship Id="rId119" Type="http://schemas.openxmlformats.org/officeDocument/2006/relationships/image" Target="media/image19.jpeg"/><Relationship Id="rId120" Type="http://schemas.openxmlformats.org/officeDocument/2006/relationships/image" Target="media/image20.png"/><Relationship Id="rId121" Type="http://schemas.openxmlformats.org/officeDocument/2006/relationships/footer" Target="footer14.xml"/><Relationship Id="rId122" Type="http://schemas.openxmlformats.org/officeDocument/2006/relationships/hyperlink" Target="mailto:Nick.J.Yonker@oregon.gov" TargetMode="External"/><Relationship Id="rId123" Type="http://schemas.openxmlformats.org/officeDocument/2006/relationships/hyperlink" Target="mailto:Peter.G.J.Parsons@oregon.gov" TargetMode="External"/><Relationship Id="rId124" Type="http://schemas.openxmlformats.org/officeDocument/2006/relationships/hyperlink" Target="mailto:Thomas.S.Jenkins@oregon.gov" TargetMode="External"/><Relationship Id="rId125" Type="http://schemas.openxmlformats.org/officeDocument/2006/relationships/hyperlink" Target="mailto:Teresa.Alcock@oregon.gov" TargetMode="External"/><Relationship Id="rId126" Type="http://schemas.openxmlformats.org/officeDocument/2006/relationships/hyperlink" Target="mailto:Christina.T.Clemons@oregon.gov" TargetMode="External"/><Relationship Id="rId127" Type="http://schemas.openxmlformats.org/officeDocument/2006/relationships/hyperlink" Target="http://www.oregon.gov/ODF/Fire/Pages/Burn.aspx" TargetMode="External"/><Relationship Id="rId128" Type="http://schemas.openxmlformats.org/officeDocument/2006/relationships/footer" Target="footer15.xml"/><Relationship Id="rId129" Type="http://schemas.openxmlformats.org/officeDocument/2006/relationships/footer" Target="footer16.xml"/><Relationship Id="rId130" Type="http://schemas.openxmlformats.org/officeDocument/2006/relationships/hyperlink" Target="http://www.oregon.gov/ODF/Documents/Fire/FIRE_WEATHER_ZONE_2015.pdf" TargetMode="External"/><Relationship Id="rId131" Type="http://schemas.openxmlformats.org/officeDocument/2006/relationships/footer" Target="footer17.xml"/><Relationship Id="rId132" Type="http://schemas.openxmlformats.org/officeDocument/2006/relationships/hyperlink" Target="mailto:josh.clark@dnr.wa.gov" TargetMode="External"/><Relationship Id="rId133" Type="http://schemas.openxmlformats.org/officeDocument/2006/relationships/hyperlink" Target="mailto:vaughn.cork@dnr.wa.gov" TargetMode="External"/><Relationship Id="rId134" Type="http://schemas.openxmlformats.org/officeDocument/2006/relationships/hyperlink" Target="mailto:kirk.davis@dnr.wa.gov" TargetMode="External"/><Relationship Id="rId135" Type="http://schemas.openxmlformats.org/officeDocument/2006/relationships/hyperlink" Target="mailto:carolyn.kelly@dnr.wa.gov" TargetMode="External"/><Relationship Id="rId136" Type="http://schemas.openxmlformats.org/officeDocument/2006/relationships/hyperlink" Target="mailto:josh.mohler@dnr.wa.gov" TargetMode="External"/><Relationship Id="rId137" Type="http://schemas.openxmlformats.org/officeDocument/2006/relationships/hyperlink" Target="http://www.dnr.wa.gov/programs-and-services/wildfire-resources" TargetMode="External"/><Relationship Id="rId138" Type="http://schemas.openxmlformats.org/officeDocument/2006/relationships/hyperlink" Target="https://twitter.com/waDNR_fire" TargetMode="External"/><Relationship Id="rId139" Type="http://schemas.openxmlformats.org/officeDocument/2006/relationships/image" Target="media/image21.jpeg"/><Relationship Id="rId140" Type="http://schemas.openxmlformats.org/officeDocument/2006/relationships/hyperlink" Target="http://apps.leg.wa.gov/rcw/default.aspx?cite=76.04" TargetMode="External"/><Relationship Id="rId141" Type="http://schemas.openxmlformats.org/officeDocument/2006/relationships/hyperlink" Target="http://file.dnr.wa.gov/publications/rp_burn_smptoc.pdf" TargetMode="External"/><Relationship Id="rId142" Type="http://schemas.openxmlformats.org/officeDocument/2006/relationships/hyperlink" Target="https://fortress.wa.gov/dnr/protection/burnrequests/" TargetMode="External"/><Relationship Id="rId143" Type="http://schemas.openxmlformats.org/officeDocument/2006/relationships/hyperlink" Target="mailto:DNRDLRPRAWS@dnr.wa.gov" TargetMode="External"/><Relationship Id="rId144" Type="http://schemas.openxmlformats.org/officeDocument/2006/relationships/image" Target="media/image22.jpeg"/><Relationship Id="rId145" Type="http://schemas.openxmlformats.org/officeDocument/2006/relationships/footer" Target="footer18.xml"/><Relationship Id="rId146" Type="http://schemas.openxmlformats.org/officeDocument/2006/relationships/hyperlink" Target="http://www.weather.gov/directives/sym/pd01004002curr.pdf" TargetMode="External"/><Relationship Id="rId147" Type="http://schemas.openxmlformats.org/officeDocument/2006/relationships/hyperlink" Target="http://www.weather.gov/directives/sym/pd01004003curr.pdf" TargetMode="External"/><Relationship Id="rId148" Type="http://schemas.openxmlformats.org/officeDocument/2006/relationships/hyperlink" Target="http://www.weather.gov/directives/sym/pd01004004curr.pdf" TargetMode="External"/><Relationship Id="rId149" Type="http://schemas.openxmlformats.org/officeDocument/2006/relationships/hyperlink" Target="http://www.weather.gov/directives/sym/pd01004005curr.pdf" TargetMode="External"/><Relationship Id="rId150" Type="http://schemas.openxmlformats.org/officeDocument/2006/relationships/hyperlink" Target="http://www.weather.gov/directives/sym/pd01004007curr.pdf" TargetMode="External"/><Relationship Id="rId151" Type="http://schemas.openxmlformats.org/officeDocument/2006/relationships/hyperlink" Target="http://www.weather.gov/directives/sym/pd01004001w042005curr.pdf" TargetMode="External"/><Relationship Id="rId152" Type="http://schemas.openxmlformats.org/officeDocument/2006/relationships/hyperlink" Target="http://www.wrh.noaa.gov/sew/D1_V2005.pdf" TargetMode="External"/><Relationship Id="rId153" Type="http://schemas.openxmlformats.org/officeDocument/2006/relationships/hyperlink" Target="http://www.nifc.gov/nicc/mobguide/index.html" TargetMode="External"/><Relationship Id="rId154" Type="http://schemas.openxmlformats.org/officeDocument/2006/relationships/hyperlink" Target="http://www.nwccweb.us/admin/publications.asp" TargetMode="External"/><Relationship Id="rId155" Type="http://schemas.openxmlformats.org/officeDocument/2006/relationships/hyperlink" Target="http://dnr.wa.gov/programs-and-services/wildfire-resources" TargetMode="External"/><Relationship Id="rId156" Type="http://schemas.openxmlformats.org/officeDocument/2006/relationships/image" Target="media/image23.jpeg"/><Relationship Id="rId157" Type="http://schemas.openxmlformats.org/officeDocument/2006/relationships/image" Target="media/image24.png"/><Relationship Id="rId158" Type="http://schemas.openxmlformats.org/officeDocument/2006/relationships/hyperlink" Target="mailto:very.windy@web.address" TargetMode="External"/><Relationship Id="rId159" Type="http://schemas.openxmlformats.org/officeDocument/2006/relationships/hyperlink" Target="http://www.srh.noaa.gov/ridge2/fire/docs/HYSPLITone-pager_final_woSMEs.docx" TargetMode="External"/><Relationship Id="rId16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Clark</dc:creator>
  <dcterms:created xsi:type="dcterms:W3CDTF">2018-07-06T15:58:31Z</dcterms:created>
  <dcterms:modified xsi:type="dcterms:W3CDTF">2018-07-06T15:58:31Z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2018-06-29T00:00:00Z</vt:filetime>
  </property>
  <property fmtid="{D5CDD505-2E9C-101B-9397-08002B2CF9AE}" pid="3" name="Creator">
    <vt:lpwstr>Acrobat PDFMaker 15 for Word</vt:lpwstr>
  </property>
  <property fmtid="{D5CDD505-2E9C-101B-9397-08002B2CF9AE}" pid="4" name="LastSaved">
    <vt:filetime>2018-07-06T00:00:00Z</vt:filetime>
  </property>
</Properties>
</file>