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E2" w:rsidRDefault="00F872E2">
      <w:pPr>
        <w:rPr>
          <w:sz w:val="20"/>
          <w:szCs w:val="20"/>
        </w:rPr>
      </w:pPr>
    </w:p>
    <w:tbl>
      <w:tblPr>
        <w:tblW w:w="0" w:type="auto"/>
        <w:tblLayout w:type="fixed"/>
        <w:tblLook w:val="01E0" w:firstRow="1" w:lastRow="1" w:firstColumn="1" w:lastColumn="1" w:noHBand="0" w:noVBand="0"/>
      </w:tblPr>
      <w:tblGrid>
        <w:gridCol w:w="1548"/>
        <w:gridCol w:w="2790"/>
        <w:gridCol w:w="1530"/>
        <w:gridCol w:w="3600"/>
      </w:tblGrid>
      <w:tr w:rsidR="00F872E2" w:rsidRPr="00AE6CEA" w:rsidTr="00AE6CEA">
        <w:trPr>
          <w:trHeight w:hRule="exact" w:val="432"/>
        </w:trPr>
        <w:tc>
          <w:tcPr>
            <w:tcW w:w="1548" w:type="dxa"/>
            <w:vAlign w:val="bottom"/>
          </w:tcPr>
          <w:p w:rsidR="00F872E2" w:rsidRPr="00AE6CEA" w:rsidRDefault="00F872E2" w:rsidP="00AE6CEA">
            <w:pPr>
              <w:jc w:val="right"/>
              <w:rPr>
                <w:rFonts w:ascii="Calibri" w:hAnsi="Calibri"/>
                <w:sz w:val="20"/>
                <w:szCs w:val="20"/>
              </w:rPr>
            </w:pPr>
            <w:r w:rsidRPr="00AE6CEA">
              <w:rPr>
                <w:rFonts w:ascii="Calibri" w:hAnsi="Calibri"/>
                <w:sz w:val="20"/>
                <w:szCs w:val="20"/>
              </w:rPr>
              <w:t>Submitter:</w:t>
            </w:r>
          </w:p>
        </w:tc>
        <w:tc>
          <w:tcPr>
            <w:tcW w:w="2790" w:type="dxa"/>
            <w:tcBorders>
              <w:bottom w:val="single" w:sz="4" w:space="0" w:color="auto"/>
            </w:tcBorders>
            <w:vAlign w:val="bottom"/>
          </w:tcPr>
          <w:p w:rsidR="00F872E2" w:rsidRPr="00AE6CEA" w:rsidRDefault="00F872E2">
            <w:pPr>
              <w:rPr>
                <w:rFonts w:ascii="Century Gothic" w:hAnsi="Century Gothic"/>
                <w:sz w:val="20"/>
                <w:szCs w:val="20"/>
              </w:rPr>
            </w:pPr>
            <w:r w:rsidRPr="00AE6CEA">
              <w:rPr>
                <w:rFonts w:ascii="Century Gothic" w:hAnsi="Century Gothic"/>
                <w:sz w:val="20"/>
                <w:szCs w:val="20"/>
              </w:rPr>
              <w:t>Larry Bush</w:t>
            </w:r>
          </w:p>
        </w:tc>
        <w:tc>
          <w:tcPr>
            <w:tcW w:w="1530" w:type="dxa"/>
            <w:vAlign w:val="bottom"/>
          </w:tcPr>
          <w:p w:rsidR="00F872E2" w:rsidRPr="00AE6CEA" w:rsidRDefault="00F872E2" w:rsidP="00AE6CEA">
            <w:pPr>
              <w:jc w:val="right"/>
              <w:rPr>
                <w:rFonts w:ascii="Calibri" w:hAnsi="Calibri"/>
                <w:sz w:val="20"/>
                <w:szCs w:val="20"/>
              </w:rPr>
            </w:pPr>
            <w:r w:rsidRPr="00AE6CEA">
              <w:rPr>
                <w:rFonts w:ascii="Calibri" w:hAnsi="Calibri"/>
                <w:sz w:val="20"/>
                <w:szCs w:val="20"/>
              </w:rPr>
              <w:t>Date</w:t>
            </w:r>
          </w:p>
        </w:tc>
        <w:tc>
          <w:tcPr>
            <w:tcW w:w="3600" w:type="dxa"/>
            <w:tcBorders>
              <w:bottom w:val="single" w:sz="4" w:space="0" w:color="auto"/>
            </w:tcBorders>
            <w:vAlign w:val="bottom"/>
          </w:tcPr>
          <w:p w:rsidR="00F872E2" w:rsidRPr="00AE6CEA" w:rsidRDefault="00F872E2">
            <w:pPr>
              <w:rPr>
                <w:rFonts w:ascii="Century Gothic" w:hAnsi="Century Gothic"/>
                <w:sz w:val="20"/>
                <w:szCs w:val="20"/>
              </w:rPr>
            </w:pPr>
            <w:r w:rsidRPr="00AE6CEA">
              <w:rPr>
                <w:rFonts w:ascii="Century Gothic" w:hAnsi="Century Gothic"/>
                <w:sz w:val="20"/>
                <w:szCs w:val="20"/>
              </w:rPr>
              <w:t>11/20/09</w:t>
            </w:r>
          </w:p>
        </w:tc>
      </w:tr>
      <w:tr w:rsidR="00F872E2" w:rsidRPr="00AE6CEA" w:rsidTr="00AE6CEA">
        <w:trPr>
          <w:trHeight w:hRule="exact" w:val="432"/>
        </w:trPr>
        <w:tc>
          <w:tcPr>
            <w:tcW w:w="1548" w:type="dxa"/>
            <w:vAlign w:val="bottom"/>
          </w:tcPr>
          <w:p w:rsidR="00F872E2" w:rsidRPr="00AE6CEA" w:rsidRDefault="00F872E2" w:rsidP="00AE6CEA">
            <w:pPr>
              <w:jc w:val="right"/>
              <w:rPr>
                <w:rFonts w:ascii="Calibri" w:hAnsi="Calibri"/>
                <w:sz w:val="20"/>
                <w:szCs w:val="20"/>
              </w:rPr>
            </w:pPr>
            <w:r w:rsidRPr="00AE6CEA">
              <w:rPr>
                <w:rFonts w:ascii="Calibri" w:hAnsi="Calibri"/>
                <w:sz w:val="20"/>
                <w:szCs w:val="20"/>
              </w:rPr>
              <w:t>Phone Number:</w:t>
            </w:r>
          </w:p>
        </w:tc>
        <w:tc>
          <w:tcPr>
            <w:tcW w:w="2790" w:type="dxa"/>
            <w:tcBorders>
              <w:top w:val="single" w:sz="4" w:space="0" w:color="auto"/>
              <w:bottom w:val="single" w:sz="4" w:space="0" w:color="auto"/>
            </w:tcBorders>
            <w:vAlign w:val="bottom"/>
          </w:tcPr>
          <w:p w:rsidR="00F872E2" w:rsidRPr="00AE6CEA" w:rsidRDefault="00F872E2">
            <w:pPr>
              <w:rPr>
                <w:rFonts w:ascii="Century Gothic" w:hAnsi="Century Gothic"/>
                <w:sz w:val="20"/>
                <w:szCs w:val="20"/>
              </w:rPr>
            </w:pPr>
            <w:r w:rsidRPr="00AE6CEA">
              <w:rPr>
                <w:rFonts w:ascii="Century Gothic" w:hAnsi="Century Gothic"/>
                <w:sz w:val="20"/>
                <w:szCs w:val="20"/>
              </w:rPr>
              <w:t>406-829-7048</w:t>
            </w:r>
          </w:p>
        </w:tc>
        <w:tc>
          <w:tcPr>
            <w:tcW w:w="1530" w:type="dxa"/>
            <w:vAlign w:val="bottom"/>
          </w:tcPr>
          <w:p w:rsidR="00F872E2" w:rsidRPr="00AE6CEA" w:rsidRDefault="00F872E2" w:rsidP="00AE6CEA">
            <w:pPr>
              <w:jc w:val="right"/>
              <w:rPr>
                <w:rFonts w:ascii="Calibri" w:hAnsi="Calibri"/>
                <w:sz w:val="20"/>
                <w:szCs w:val="20"/>
              </w:rPr>
            </w:pPr>
            <w:r w:rsidRPr="00AE6CEA">
              <w:rPr>
                <w:rFonts w:ascii="Calibri" w:hAnsi="Calibri"/>
                <w:sz w:val="20"/>
                <w:szCs w:val="20"/>
              </w:rPr>
              <w:t>Email address:</w:t>
            </w:r>
          </w:p>
        </w:tc>
        <w:tc>
          <w:tcPr>
            <w:tcW w:w="3600" w:type="dxa"/>
            <w:tcBorders>
              <w:top w:val="single" w:sz="4" w:space="0" w:color="auto"/>
              <w:bottom w:val="single" w:sz="4" w:space="0" w:color="auto"/>
            </w:tcBorders>
            <w:vAlign w:val="bottom"/>
          </w:tcPr>
          <w:p w:rsidR="00F872E2" w:rsidRPr="00AE6CEA" w:rsidRDefault="00A33F6F">
            <w:pPr>
              <w:rPr>
                <w:rFonts w:ascii="Century Gothic" w:hAnsi="Century Gothic"/>
                <w:sz w:val="20"/>
                <w:szCs w:val="20"/>
              </w:rPr>
            </w:pPr>
            <w:hyperlink r:id="rId7" w:history="1">
              <w:r w:rsidR="00F872E2" w:rsidRPr="00AE6CEA">
                <w:rPr>
                  <w:rStyle w:val="Hyperlink"/>
                  <w:rFonts w:ascii="Century Gothic" w:hAnsi="Century Gothic"/>
                  <w:sz w:val="20"/>
                  <w:szCs w:val="20"/>
                </w:rPr>
                <w:t>lbush@mt.gov</w:t>
              </w:r>
            </w:hyperlink>
          </w:p>
        </w:tc>
      </w:tr>
      <w:tr w:rsidR="00C05AB9" w:rsidRPr="00AE6CEA" w:rsidTr="00AE6CEA">
        <w:trPr>
          <w:trHeight w:hRule="exact" w:val="432"/>
        </w:trPr>
        <w:tc>
          <w:tcPr>
            <w:tcW w:w="9468" w:type="dxa"/>
            <w:gridSpan w:val="4"/>
          </w:tcPr>
          <w:p w:rsidR="00C05AB9" w:rsidRPr="00512860" w:rsidRDefault="00C05AB9" w:rsidP="00D67498">
            <w:pPr>
              <w:rPr>
                <w:rFonts w:ascii="Century Gothic" w:hAnsi="Century Gothic"/>
                <w:b/>
                <w:sz w:val="20"/>
                <w:szCs w:val="20"/>
              </w:rPr>
            </w:pPr>
            <w:r w:rsidRPr="00512860">
              <w:rPr>
                <w:rFonts w:ascii="Century Gothic" w:hAnsi="Century Gothic"/>
                <w:b/>
                <w:sz w:val="20"/>
                <w:szCs w:val="20"/>
              </w:rPr>
              <w:t>Task #0</w:t>
            </w:r>
            <w:r>
              <w:rPr>
                <w:rFonts w:ascii="Century Gothic" w:hAnsi="Century Gothic"/>
                <w:b/>
                <w:sz w:val="20"/>
                <w:szCs w:val="20"/>
              </w:rPr>
              <w:t>6</w:t>
            </w:r>
            <w:r w:rsidRPr="00512860">
              <w:rPr>
                <w:rFonts w:ascii="Century Gothic" w:hAnsi="Century Gothic"/>
                <w:b/>
                <w:sz w:val="20"/>
                <w:szCs w:val="20"/>
              </w:rPr>
              <w:t xml:space="preserve">- </w:t>
            </w:r>
            <w:r w:rsidR="00D67498">
              <w:rPr>
                <w:rFonts w:ascii="Century Gothic" w:hAnsi="Century Gothic"/>
                <w:b/>
                <w:sz w:val="20"/>
                <w:szCs w:val="20"/>
              </w:rPr>
              <w:t>Alyssa Stewart</w:t>
            </w:r>
            <w:r w:rsidRPr="00512860">
              <w:rPr>
                <w:rFonts w:ascii="Century Gothic" w:hAnsi="Century Gothic"/>
                <w:b/>
                <w:sz w:val="20"/>
                <w:szCs w:val="20"/>
              </w:rPr>
              <w:t xml:space="preserve"> </w:t>
            </w:r>
            <w:r>
              <w:rPr>
                <w:rFonts w:ascii="Century Gothic" w:hAnsi="Century Gothic"/>
                <w:b/>
                <w:sz w:val="20"/>
                <w:szCs w:val="20"/>
              </w:rPr>
              <w:t>a</w:t>
            </w:r>
            <w:r w:rsidRPr="00512860">
              <w:rPr>
                <w:rFonts w:ascii="Century Gothic" w:hAnsi="Century Gothic"/>
                <w:b/>
                <w:sz w:val="20"/>
                <w:szCs w:val="20"/>
              </w:rPr>
              <w:t>ssigned</w:t>
            </w:r>
          </w:p>
        </w:tc>
      </w:tr>
      <w:tr w:rsidR="00C05AB9" w:rsidRPr="00AE6CEA" w:rsidTr="00AE6CEA">
        <w:trPr>
          <w:trHeight w:hRule="exact" w:val="360"/>
        </w:trPr>
        <w:tc>
          <w:tcPr>
            <w:tcW w:w="9468" w:type="dxa"/>
            <w:gridSpan w:val="4"/>
            <w:vAlign w:val="bottom"/>
          </w:tcPr>
          <w:p w:rsidR="00C05AB9" w:rsidRPr="00C05AB9" w:rsidRDefault="00C05AB9">
            <w:pPr>
              <w:rPr>
                <w:rFonts w:ascii="Calibri" w:hAnsi="Calibri"/>
                <w:i/>
                <w:sz w:val="18"/>
                <w:szCs w:val="18"/>
              </w:rPr>
            </w:pPr>
            <w:r w:rsidRPr="00AE6CEA">
              <w:rPr>
                <w:rFonts w:ascii="Calibri" w:hAnsi="Calibri"/>
                <w:sz w:val="20"/>
                <w:szCs w:val="20"/>
              </w:rPr>
              <w:t xml:space="preserve">ISSUE/PROBLEM:  </w:t>
            </w:r>
            <w:r w:rsidRPr="00AE6CEA">
              <w:rPr>
                <w:rFonts w:ascii="Calibri" w:hAnsi="Calibri"/>
                <w:i/>
                <w:sz w:val="18"/>
                <w:szCs w:val="18"/>
              </w:rPr>
              <w:t>Describe your issue/s in no more than 2 paragraphs</w:t>
            </w:r>
          </w:p>
        </w:tc>
      </w:tr>
      <w:tr w:rsidR="00C05AB9" w:rsidRPr="00AE6CEA" w:rsidTr="00AE6CEA">
        <w:trPr>
          <w:cantSplit/>
          <w:trHeight w:val="360"/>
        </w:trPr>
        <w:tc>
          <w:tcPr>
            <w:tcW w:w="9468" w:type="dxa"/>
            <w:gridSpan w:val="4"/>
          </w:tcPr>
          <w:p w:rsidR="00C05AB9" w:rsidRPr="00AE6CEA" w:rsidRDefault="00C05AB9" w:rsidP="007B7D58">
            <w:pPr>
              <w:rPr>
                <w:rFonts w:ascii="Century Gothic" w:hAnsi="Century Gothic"/>
                <w:sz w:val="20"/>
                <w:szCs w:val="20"/>
              </w:rPr>
            </w:pPr>
            <w:r w:rsidRPr="00AE6CEA">
              <w:rPr>
                <w:rFonts w:ascii="Century Gothic" w:hAnsi="Century Gothic"/>
                <w:sz w:val="20"/>
                <w:szCs w:val="20"/>
              </w:rPr>
              <w:t xml:space="preserve">There is a problem with importing IQS files into ROSS.  Certain dispatch centers are not able to import IQS files for their own people.  In the SW zone, </w:t>
            </w:r>
            <w:proofErr w:type="spellStart"/>
            <w:r w:rsidRPr="00AE6CEA">
              <w:rPr>
                <w:rFonts w:ascii="Century Gothic" w:hAnsi="Century Gothic"/>
                <w:sz w:val="20"/>
                <w:szCs w:val="20"/>
              </w:rPr>
              <w:t>Bittterroot</w:t>
            </w:r>
            <w:proofErr w:type="spellEnd"/>
            <w:r w:rsidRPr="00AE6CEA">
              <w:rPr>
                <w:rFonts w:ascii="Century Gothic" w:hAnsi="Century Gothic"/>
                <w:sz w:val="20"/>
                <w:szCs w:val="20"/>
              </w:rPr>
              <w:t xml:space="preserve"> Dispatch (BRC) and Northern Rockies (NRC) both have state or local people assigned to those dispatch centers but are not able to import IQS files to update their ROSS records.  Instead, they must first transfer those ROSS records to MDC, then MDC can import the IQS file, then MDC must transfer the ROSS record back to the host dispatch center.  It is a cumbersome process and has some other consequences, namely, if the person being updated is a dispatcher, the transfer in ROSS deletes the user roles for that person in ROSS, which then also have to be re-established.</w:t>
            </w:r>
          </w:p>
          <w:p w:rsidR="00C05AB9" w:rsidRPr="00AE6CEA" w:rsidRDefault="00C05AB9" w:rsidP="007B7D58">
            <w:pPr>
              <w:rPr>
                <w:rFonts w:ascii="Century Gothic" w:hAnsi="Century Gothic"/>
                <w:sz w:val="20"/>
                <w:szCs w:val="20"/>
              </w:rPr>
            </w:pPr>
          </w:p>
          <w:p w:rsidR="00C05AB9" w:rsidRPr="00AE6CEA" w:rsidRDefault="00C05AB9" w:rsidP="007B7D58">
            <w:pPr>
              <w:rPr>
                <w:rFonts w:ascii="Century Gothic" w:hAnsi="Century Gothic"/>
                <w:sz w:val="20"/>
                <w:szCs w:val="20"/>
              </w:rPr>
            </w:pPr>
            <w:r w:rsidRPr="00AE6CEA">
              <w:rPr>
                <w:rFonts w:ascii="Century Gothic" w:hAnsi="Century Gothic"/>
                <w:sz w:val="20"/>
                <w:szCs w:val="20"/>
              </w:rPr>
              <w:t>I believe the same issue affects other dispatch centers as well.  Helena Dispatch must do the same for the state and local government folks at Dillon and Bozeman and Kootenai Dispatch cannot import their own IQS files either.</w:t>
            </w:r>
          </w:p>
        </w:tc>
      </w:tr>
      <w:tr w:rsidR="00C05AB9" w:rsidRPr="00AE6CEA" w:rsidTr="00AE6CEA">
        <w:trPr>
          <w:trHeight w:hRule="exact" w:val="360"/>
        </w:trPr>
        <w:tc>
          <w:tcPr>
            <w:tcW w:w="9468" w:type="dxa"/>
            <w:gridSpan w:val="4"/>
            <w:vAlign w:val="bottom"/>
          </w:tcPr>
          <w:p w:rsidR="00C05AB9" w:rsidRPr="00AE6CEA" w:rsidRDefault="00C05AB9">
            <w:pPr>
              <w:rPr>
                <w:rFonts w:ascii="Calibri" w:hAnsi="Calibri"/>
                <w:sz w:val="20"/>
                <w:szCs w:val="20"/>
              </w:rPr>
            </w:pPr>
            <w:r w:rsidRPr="00AE6CEA">
              <w:rPr>
                <w:rFonts w:ascii="Calibri" w:hAnsi="Calibri"/>
                <w:sz w:val="20"/>
                <w:szCs w:val="20"/>
              </w:rPr>
              <w:t>HISTORY</w:t>
            </w:r>
            <w:r w:rsidRPr="00AE6CEA">
              <w:rPr>
                <w:rFonts w:ascii="Calibri" w:hAnsi="Calibri"/>
                <w:b/>
                <w:sz w:val="20"/>
                <w:szCs w:val="20"/>
              </w:rPr>
              <w:t>/</w:t>
            </w:r>
            <w:r w:rsidRPr="00AE6CEA">
              <w:rPr>
                <w:rFonts w:ascii="Calibri" w:hAnsi="Calibri"/>
                <w:sz w:val="20"/>
                <w:szCs w:val="20"/>
              </w:rPr>
              <w:t xml:space="preserve">BACKGROUND: </w:t>
            </w:r>
            <w:r w:rsidRPr="00AE6CEA">
              <w:rPr>
                <w:rFonts w:ascii="Calibri" w:hAnsi="Calibri"/>
                <w:i/>
                <w:sz w:val="18"/>
                <w:szCs w:val="18"/>
              </w:rPr>
              <w:t>Describe the history associated with the issue/s (1 page or less)</w:t>
            </w:r>
          </w:p>
        </w:tc>
      </w:tr>
      <w:bookmarkStart w:id="0" w:name="Text11"/>
      <w:tr w:rsidR="00C05AB9" w:rsidRPr="00AE6CEA" w:rsidTr="00AE6CEA">
        <w:trPr>
          <w:cantSplit/>
          <w:trHeight w:val="360"/>
        </w:trPr>
        <w:tc>
          <w:tcPr>
            <w:tcW w:w="9468" w:type="dxa"/>
            <w:gridSpan w:val="4"/>
          </w:tcPr>
          <w:p w:rsidR="00C05AB9" w:rsidRPr="00AE6CEA" w:rsidRDefault="00255E61">
            <w:pPr>
              <w:rPr>
                <w:rFonts w:ascii="Century Gothic" w:hAnsi="Century Gothic"/>
                <w:sz w:val="20"/>
                <w:szCs w:val="20"/>
              </w:rPr>
            </w:pPr>
            <w:r w:rsidRPr="00AE6CEA">
              <w:rPr>
                <w:rFonts w:ascii="Century Gothic" w:hAnsi="Century Gothic"/>
                <w:sz w:val="20"/>
                <w:szCs w:val="20"/>
              </w:rPr>
              <w:fldChar w:fldCharType="begin">
                <w:ffData>
                  <w:name w:val="Text11"/>
                  <w:enabled/>
                  <w:calcOnExit w:val="0"/>
                  <w:textInput/>
                </w:ffData>
              </w:fldChar>
            </w:r>
            <w:r w:rsidR="00C05AB9" w:rsidRPr="00AE6CEA">
              <w:rPr>
                <w:rFonts w:ascii="Century Gothic" w:hAnsi="Century Gothic"/>
                <w:sz w:val="20"/>
                <w:szCs w:val="20"/>
              </w:rPr>
              <w:instrText xml:space="preserve"> FORMTEXT </w:instrText>
            </w:r>
            <w:r w:rsidRPr="00AE6CEA">
              <w:rPr>
                <w:rFonts w:ascii="Century Gothic" w:hAnsi="Century Gothic"/>
                <w:sz w:val="20"/>
                <w:szCs w:val="20"/>
              </w:rPr>
            </w:r>
            <w:r w:rsidRPr="00AE6CEA">
              <w:rPr>
                <w:rFonts w:ascii="Century Gothic" w:hAnsi="Century Gothic"/>
                <w:sz w:val="20"/>
                <w:szCs w:val="20"/>
              </w:rPr>
              <w:fldChar w:fldCharType="separate"/>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Pr="00AE6CEA">
              <w:rPr>
                <w:rFonts w:ascii="Century Gothic" w:hAnsi="Century Gothic"/>
                <w:sz w:val="20"/>
                <w:szCs w:val="20"/>
              </w:rPr>
              <w:fldChar w:fldCharType="end"/>
            </w:r>
            <w:bookmarkEnd w:id="0"/>
          </w:p>
        </w:tc>
      </w:tr>
      <w:tr w:rsidR="00C05AB9" w:rsidRPr="00AE6CEA" w:rsidTr="00AE6CEA">
        <w:trPr>
          <w:trHeight w:hRule="exact" w:val="535"/>
        </w:trPr>
        <w:tc>
          <w:tcPr>
            <w:tcW w:w="9468" w:type="dxa"/>
            <w:gridSpan w:val="4"/>
          </w:tcPr>
          <w:p w:rsidR="00C05AB9" w:rsidRPr="00AE6CEA" w:rsidRDefault="00C05AB9">
            <w:pPr>
              <w:rPr>
                <w:rFonts w:ascii="Calibri" w:hAnsi="Calibri"/>
                <w:sz w:val="20"/>
                <w:szCs w:val="20"/>
              </w:rPr>
            </w:pPr>
            <w:r w:rsidRPr="00AE6CEA">
              <w:rPr>
                <w:rFonts w:ascii="Calibri" w:hAnsi="Calibri"/>
                <w:sz w:val="20"/>
                <w:szCs w:val="20"/>
              </w:rPr>
              <w:t xml:space="preserve">POLICY: </w:t>
            </w:r>
            <w:r w:rsidRPr="00AE6CEA">
              <w:rPr>
                <w:rFonts w:ascii="Calibri" w:hAnsi="Calibri"/>
                <w:i/>
                <w:sz w:val="18"/>
                <w:szCs w:val="18"/>
              </w:rPr>
              <w:t>Describe the policy or regulation that is relevant to your issue/s. If no policy or regulation is associated with your issue, just write not applicable (N/A).</w:t>
            </w:r>
          </w:p>
        </w:tc>
      </w:tr>
      <w:tr w:rsidR="00C05AB9" w:rsidRPr="00AE6CEA" w:rsidTr="00AE6CEA">
        <w:trPr>
          <w:trHeight w:val="360"/>
        </w:trPr>
        <w:tc>
          <w:tcPr>
            <w:tcW w:w="9468" w:type="dxa"/>
            <w:gridSpan w:val="4"/>
          </w:tcPr>
          <w:p w:rsidR="00C05AB9" w:rsidRPr="00AE6CEA" w:rsidRDefault="00255E61">
            <w:pPr>
              <w:rPr>
                <w:rFonts w:ascii="Century Gothic" w:hAnsi="Century Gothic"/>
                <w:sz w:val="20"/>
                <w:szCs w:val="20"/>
              </w:rPr>
            </w:pPr>
            <w:r w:rsidRPr="00AE6CEA">
              <w:rPr>
                <w:rFonts w:ascii="Century Gothic" w:hAnsi="Century Gothic"/>
                <w:sz w:val="20"/>
                <w:szCs w:val="20"/>
              </w:rPr>
              <w:fldChar w:fldCharType="begin">
                <w:ffData>
                  <w:name w:val="Text7"/>
                  <w:enabled/>
                  <w:calcOnExit w:val="0"/>
                  <w:textInput/>
                </w:ffData>
              </w:fldChar>
            </w:r>
            <w:bookmarkStart w:id="1" w:name="Text7"/>
            <w:r w:rsidR="00C05AB9" w:rsidRPr="00AE6CEA">
              <w:rPr>
                <w:rFonts w:ascii="Century Gothic" w:hAnsi="Century Gothic"/>
                <w:sz w:val="20"/>
                <w:szCs w:val="20"/>
              </w:rPr>
              <w:instrText xml:space="preserve"> FORMTEXT </w:instrText>
            </w:r>
            <w:r w:rsidRPr="00AE6CEA">
              <w:rPr>
                <w:rFonts w:ascii="Century Gothic" w:hAnsi="Century Gothic"/>
                <w:sz w:val="20"/>
                <w:szCs w:val="20"/>
              </w:rPr>
            </w:r>
            <w:r w:rsidRPr="00AE6CEA">
              <w:rPr>
                <w:rFonts w:ascii="Century Gothic" w:hAnsi="Century Gothic"/>
                <w:sz w:val="20"/>
                <w:szCs w:val="20"/>
              </w:rPr>
              <w:fldChar w:fldCharType="separate"/>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00C05AB9" w:rsidRPr="00AE6CEA">
              <w:rPr>
                <w:rFonts w:ascii="Calibri" w:hAnsi="Calibri"/>
                <w:sz w:val="20"/>
                <w:szCs w:val="20"/>
              </w:rPr>
              <w:t> </w:t>
            </w:r>
            <w:r w:rsidRPr="00AE6CEA">
              <w:rPr>
                <w:rFonts w:ascii="Century Gothic" w:hAnsi="Century Gothic"/>
                <w:sz w:val="20"/>
                <w:szCs w:val="20"/>
              </w:rPr>
              <w:fldChar w:fldCharType="end"/>
            </w:r>
            <w:bookmarkEnd w:id="1"/>
          </w:p>
        </w:tc>
      </w:tr>
      <w:tr w:rsidR="00C05AB9" w:rsidRPr="00AE6CEA" w:rsidTr="00AE6CEA">
        <w:trPr>
          <w:trHeight w:hRule="exact" w:val="360"/>
        </w:trPr>
        <w:tc>
          <w:tcPr>
            <w:tcW w:w="9468" w:type="dxa"/>
            <w:gridSpan w:val="4"/>
            <w:vAlign w:val="bottom"/>
          </w:tcPr>
          <w:p w:rsidR="00C05AB9" w:rsidRPr="00AE6CEA" w:rsidRDefault="00C05AB9">
            <w:pPr>
              <w:rPr>
                <w:rFonts w:ascii="Calibri" w:hAnsi="Calibri"/>
                <w:sz w:val="20"/>
                <w:szCs w:val="20"/>
              </w:rPr>
            </w:pPr>
            <w:r w:rsidRPr="00AE6CEA">
              <w:rPr>
                <w:rFonts w:ascii="Calibri" w:hAnsi="Calibri"/>
                <w:sz w:val="20"/>
                <w:szCs w:val="20"/>
              </w:rPr>
              <w:t>FACTORS AFFECTING THE ISSUE:</w:t>
            </w:r>
            <w:r w:rsidRPr="00AE6CEA">
              <w:rPr>
                <w:rFonts w:ascii="Biondi" w:hAnsi="Biondi"/>
                <w:color w:val="FF0000"/>
                <w:sz w:val="20"/>
                <w:szCs w:val="20"/>
              </w:rPr>
              <w:t xml:space="preserve"> </w:t>
            </w:r>
            <w:r w:rsidRPr="00AE6CEA">
              <w:rPr>
                <w:rFonts w:ascii="Calibri" w:hAnsi="Calibri"/>
                <w:i/>
                <w:sz w:val="18"/>
                <w:szCs w:val="18"/>
              </w:rPr>
              <w:t>Discuss key factors that should be taken into account when addressing the issues.</w:t>
            </w:r>
          </w:p>
        </w:tc>
      </w:tr>
      <w:tr w:rsidR="00C05AB9" w:rsidRPr="00AE6CEA" w:rsidTr="00AE6CEA">
        <w:trPr>
          <w:trHeight w:val="360"/>
        </w:trPr>
        <w:tc>
          <w:tcPr>
            <w:tcW w:w="9468" w:type="dxa"/>
            <w:gridSpan w:val="4"/>
          </w:tcPr>
          <w:p w:rsidR="00C05AB9" w:rsidRPr="00AE6CEA" w:rsidRDefault="00C05AB9" w:rsidP="00AF2146">
            <w:pPr>
              <w:rPr>
                <w:rFonts w:ascii="Century Gothic" w:hAnsi="Century Gothic"/>
                <w:sz w:val="20"/>
                <w:szCs w:val="20"/>
              </w:rPr>
            </w:pPr>
            <w:r w:rsidRPr="00AE6CEA">
              <w:rPr>
                <w:rFonts w:ascii="Century Gothic" w:hAnsi="Century Gothic"/>
                <w:sz w:val="20"/>
                <w:szCs w:val="20"/>
              </w:rPr>
              <w:t>I believe the issue has something to do with the organization set up in ROSS but don’t know what or where that is in ROSS.  I have pasted a screen shot from IQS help to the bottom of this form that says “The combination of Dispatch Organization and Providing Organization must be valid within ROSS”.  It seems to me that they must already be valid if Bitterroot dispatch can “own” a resource that is provided by MT-SWS but what do I know.</w:t>
            </w:r>
          </w:p>
        </w:tc>
      </w:tr>
      <w:tr w:rsidR="00C05AB9" w:rsidRPr="00AE6CEA" w:rsidTr="00AE6CEA">
        <w:trPr>
          <w:trHeight w:hRule="exact" w:val="360"/>
        </w:trPr>
        <w:tc>
          <w:tcPr>
            <w:tcW w:w="9468" w:type="dxa"/>
            <w:gridSpan w:val="4"/>
            <w:vAlign w:val="bottom"/>
          </w:tcPr>
          <w:p w:rsidR="00C05AB9" w:rsidRPr="00AE6CEA" w:rsidRDefault="00C05AB9">
            <w:pPr>
              <w:rPr>
                <w:rFonts w:ascii="Calibri" w:hAnsi="Calibri"/>
                <w:sz w:val="20"/>
                <w:szCs w:val="20"/>
              </w:rPr>
            </w:pPr>
            <w:r w:rsidRPr="00AE6CEA">
              <w:rPr>
                <w:rFonts w:ascii="Calibri" w:hAnsi="Calibri"/>
                <w:sz w:val="20"/>
                <w:szCs w:val="20"/>
              </w:rPr>
              <w:t>RECOMMENDATIONS/SOLUTIONS:</w:t>
            </w:r>
            <w:r w:rsidRPr="00AE6CEA">
              <w:rPr>
                <w:rFonts w:ascii="Biondi" w:hAnsi="Biondi"/>
                <w:color w:val="FF0000"/>
                <w:sz w:val="20"/>
                <w:szCs w:val="20"/>
              </w:rPr>
              <w:t xml:space="preserve"> </w:t>
            </w:r>
            <w:r w:rsidRPr="00AE6CEA">
              <w:rPr>
                <w:rFonts w:ascii="Calibri" w:hAnsi="Calibri"/>
                <w:i/>
                <w:sz w:val="18"/>
                <w:szCs w:val="18"/>
              </w:rPr>
              <w:t>Identify your recommendations or solutions to the issue/s you have described</w:t>
            </w:r>
          </w:p>
        </w:tc>
      </w:tr>
      <w:tr w:rsidR="00C05AB9" w:rsidRPr="00AE6CEA" w:rsidTr="00AE6CEA">
        <w:trPr>
          <w:trHeight w:val="360"/>
        </w:trPr>
        <w:tc>
          <w:tcPr>
            <w:tcW w:w="9468" w:type="dxa"/>
            <w:gridSpan w:val="4"/>
          </w:tcPr>
          <w:p w:rsidR="00C05AB9" w:rsidRPr="00AE6CEA" w:rsidRDefault="00C05AB9" w:rsidP="00213B73">
            <w:pPr>
              <w:rPr>
                <w:rFonts w:ascii="Century Gothic" w:hAnsi="Century Gothic"/>
                <w:sz w:val="20"/>
                <w:szCs w:val="20"/>
              </w:rPr>
            </w:pPr>
            <w:r w:rsidRPr="00AE6CEA">
              <w:rPr>
                <w:rFonts w:ascii="Century Gothic" w:hAnsi="Century Gothic"/>
                <w:b/>
                <w:sz w:val="20"/>
                <w:szCs w:val="20"/>
              </w:rPr>
              <w:t xml:space="preserve">Speak </w:t>
            </w:r>
            <w:r w:rsidRPr="00AE6CEA">
              <w:rPr>
                <w:rFonts w:ascii="Century Gothic" w:hAnsi="Century Gothic"/>
                <w:sz w:val="20"/>
                <w:szCs w:val="20"/>
              </w:rPr>
              <w:t>with the IQS or ROSS developer types to find out where in ROSS or IQS to fix this.</w:t>
            </w:r>
          </w:p>
        </w:tc>
      </w:tr>
      <w:tr w:rsidR="00C05AB9" w:rsidRPr="00AE6CEA" w:rsidTr="00AE6CEA">
        <w:trPr>
          <w:trHeight w:hRule="exact" w:val="625"/>
        </w:trPr>
        <w:tc>
          <w:tcPr>
            <w:tcW w:w="9468" w:type="dxa"/>
            <w:gridSpan w:val="4"/>
            <w:vAlign w:val="center"/>
          </w:tcPr>
          <w:p w:rsidR="00C05AB9" w:rsidRPr="00AE6CEA" w:rsidRDefault="00C05AB9">
            <w:pPr>
              <w:rPr>
                <w:rFonts w:ascii="Calibri" w:hAnsi="Calibri"/>
                <w:sz w:val="20"/>
                <w:szCs w:val="20"/>
              </w:rPr>
            </w:pPr>
            <w:r w:rsidRPr="00AE6CEA">
              <w:rPr>
                <w:rFonts w:ascii="Calibri" w:hAnsi="Calibri"/>
                <w:sz w:val="20"/>
                <w:szCs w:val="20"/>
              </w:rPr>
              <w:t>TASK ORDERS TO DISPATCH STEERING COMMITTEE:</w:t>
            </w:r>
            <w:r w:rsidRPr="00AE6CEA">
              <w:rPr>
                <w:rFonts w:ascii="Biondi" w:hAnsi="Biondi"/>
                <w:color w:val="FF0000"/>
                <w:sz w:val="20"/>
                <w:szCs w:val="20"/>
              </w:rPr>
              <w:t xml:space="preserve"> </w:t>
            </w:r>
            <w:r w:rsidRPr="00AE6CEA">
              <w:rPr>
                <w:rFonts w:ascii="Calibri" w:hAnsi="Calibri"/>
                <w:i/>
                <w:sz w:val="18"/>
                <w:szCs w:val="18"/>
              </w:rPr>
              <w:t xml:space="preserve">The </w:t>
            </w:r>
            <w:smartTag w:uri="urn:schemas-microsoft-com:office:smarttags" w:element="place">
              <w:r w:rsidRPr="00AE6CEA">
                <w:rPr>
                  <w:rFonts w:ascii="Calibri" w:hAnsi="Calibri"/>
                  <w:i/>
                  <w:sz w:val="18"/>
                  <w:szCs w:val="18"/>
                </w:rPr>
                <w:t>Northern Rockies</w:t>
              </w:r>
            </w:smartTag>
            <w:r w:rsidRPr="00AE6CEA">
              <w:rPr>
                <w:rFonts w:ascii="Calibri" w:hAnsi="Calibri"/>
                <w:i/>
                <w:sz w:val="18"/>
                <w:szCs w:val="18"/>
              </w:rPr>
              <w:t xml:space="preserve"> Dispatch Steering Committee will prioritize the task order based on the information</w:t>
            </w:r>
            <w:r w:rsidRPr="00AE6CEA">
              <w:rPr>
                <w:rFonts w:ascii="Biondi" w:hAnsi="Biondi"/>
                <w:color w:val="FF0000"/>
                <w:sz w:val="20"/>
                <w:szCs w:val="20"/>
              </w:rPr>
              <w:t xml:space="preserve"> </w:t>
            </w:r>
            <w:r w:rsidRPr="00AE6CEA">
              <w:rPr>
                <w:rFonts w:ascii="Calibri" w:hAnsi="Calibri"/>
                <w:i/>
                <w:sz w:val="18"/>
                <w:szCs w:val="18"/>
              </w:rPr>
              <w:t>provided on this form.  NRDSC may request additional input.</w:t>
            </w:r>
          </w:p>
        </w:tc>
      </w:tr>
      <w:tr w:rsidR="00C05AB9" w:rsidRPr="00AE6CEA" w:rsidTr="00AE6CEA">
        <w:trPr>
          <w:trHeight w:val="360"/>
        </w:trPr>
        <w:tc>
          <w:tcPr>
            <w:tcW w:w="9468" w:type="dxa"/>
            <w:gridSpan w:val="4"/>
          </w:tcPr>
          <w:p w:rsidR="00C05AB9" w:rsidRDefault="00C05AB9">
            <w:pPr>
              <w:rPr>
                <w:rFonts w:ascii="Century Gothic" w:hAnsi="Century Gothic"/>
                <w:sz w:val="20"/>
                <w:szCs w:val="20"/>
              </w:rPr>
            </w:pPr>
          </w:p>
          <w:p w:rsidR="00941050" w:rsidRPr="00941050" w:rsidRDefault="00941050" w:rsidP="00941050">
            <w:pPr>
              <w:autoSpaceDE w:val="0"/>
              <w:autoSpaceDN w:val="0"/>
              <w:adjustRightInd w:val="0"/>
              <w:rPr>
                <w:rFonts w:ascii="Century Gothic" w:hAnsi="Century Gothic" w:cs="Tms Rmn"/>
                <w:color w:val="000000"/>
              </w:rPr>
            </w:pPr>
            <w:r w:rsidRPr="00941050">
              <w:rPr>
                <w:rFonts w:ascii="Century Gothic" w:hAnsi="Century Gothic"/>
                <w:b/>
                <w:sz w:val="22"/>
                <w:szCs w:val="20"/>
              </w:rPr>
              <w:t>12/17/10</w:t>
            </w:r>
            <w:r w:rsidRPr="00941050">
              <w:rPr>
                <w:rFonts w:ascii="Century Gothic" w:hAnsi="Century Gothic"/>
                <w:sz w:val="22"/>
                <w:szCs w:val="20"/>
              </w:rPr>
              <w:t xml:space="preserve">   </w:t>
            </w:r>
            <w:r>
              <w:rPr>
                <w:rFonts w:ascii="Century Gothic" w:hAnsi="Century Gothic" w:cs="Tms Rmn"/>
                <w:color w:val="000000"/>
              </w:rPr>
              <w:t xml:space="preserve">The ROSS/IQS issue is </w:t>
            </w:r>
            <w:r w:rsidRPr="00941050">
              <w:rPr>
                <w:rFonts w:ascii="Century Gothic" w:hAnsi="Century Gothic" w:cs="Tms Rmn"/>
                <w:color w:val="000000"/>
              </w:rPr>
              <w:t>at a standstill. I believe that the recent update that made an IQS-&gt;ROSS interface may have solved the issue, or it might not have. </w:t>
            </w:r>
          </w:p>
          <w:p w:rsidR="00941050" w:rsidRDefault="00941050">
            <w:pPr>
              <w:rPr>
                <w:rFonts w:ascii="Century Gothic" w:hAnsi="Century Gothic"/>
                <w:sz w:val="20"/>
                <w:szCs w:val="20"/>
              </w:rPr>
            </w:pPr>
          </w:p>
          <w:p w:rsidR="001B5BDD" w:rsidRPr="001B5BDD" w:rsidRDefault="001B5BDD" w:rsidP="001B5BDD">
            <w:pPr>
              <w:pStyle w:val="NormalWeb"/>
              <w:rPr>
                <w:rFonts w:ascii="Century Gothic" w:hAnsi="Century Gothic"/>
                <w:b/>
                <w:sz w:val="20"/>
                <w:szCs w:val="20"/>
              </w:rPr>
            </w:pPr>
            <w:r>
              <w:rPr>
                <w:rFonts w:ascii="Century Gothic" w:hAnsi="Century Gothic"/>
                <w:b/>
                <w:sz w:val="22"/>
                <w:szCs w:val="20"/>
              </w:rPr>
              <w:t>11/17/</w:t>
            </w:r>
            <w:r w:rsidRPr="001B5BDD">
              <w:rPr>
                <w:rFonts w:ascii="Century Gothic" w:hAnsi="Century Gothic"/>
                <w:b/>
                <w:sz w:val="22"/>
                <w:szCs w:val="20"/>
              </w:rPr>
              <w:t>11</w:t>
            </w:r>
            <w:r>
              <w:rPr>
                <w:rFonts w:ascii="Century Gothic" w:hAnsi="Century Gothic"/>
                <w:b/>
                <w:sz w:val="22"/>
                <w:szCs w:val="20"/>
              </w:rPr>
              <w:t xml:space="preserve">   Per Larry Bush, original submitter of this task order, the issue was fixed with the release of </w:t>
            </w:r>
            <w:proofErr w:type="spellStart"/>
            <w:r>
              <w:rPr>
                <w:rFonts w:ascii="Century Gothic" w:hAnsi="Century Gothic"/>
                <w:b/>
                <w:sz w:val="22"/>
                <w:szCs w:val="20"/>
              </w:rPr>
              <w:t>IQSweb</w:t>
            </w:r>
            <w:proofErr w:type="spellEnd"/>
            <w:r>
              <w:rPr>
                <w:rFonts w:ascii="Century Gothic" w:hAnsi="Century Gothic"/>
                <w:b/>
                <w:sz w:val="22"/>
                <w:szCs w:val="20"/>
              </w:rPr>
              <w:t xml:space="preserve">. </w:t>
            </w:r>
          </w:p>
        </w:tc>
      </w:tr>
      <w:tr w:rsidR="00C05AB9" w:rsidRPr="00AE6CEA" w:rsidTr="001B256B">
        <w:trPr>
          <w:trHeight w:hRule="exact" w:val="80"/>
        </w:trPr>
        <w:tc>
          <w:tcPr>
            <w:tcW w:w="9468" w:type="dxa"/>
            <w:gridSpan w:val="4"/>
            <w:vAlign w:val="bottom"/>
          </w:tcPr>
          <w:p w:rsidR="00C05AB9" w:rsidRPr="00AE6CEA" w:rsidRDefault="00C05AB9">
            <w:pPr>
              <w:rPr>
                <w:rFonts w:ascii="Calibri" w:hAnsi="Calibri"/>
                <w:sz w:val="20"/>
                <w:szCs w:val="20"/>
              </w:rPr>
            </w:pPr>
            <w:r w:rsidRPr="00AE6CEA">
              <w:rPr>
                <w:rFonts w:ascii="Calibri" w:hAnsi="Calibri"/>
                <w:sz w:val="20"/>
                <w:szCs w:val="20"/>
              </w:rPr>
              <w:t>STATUS:</w:t>
            </w:r>
            <w:r w:rsidRPr="00AE6CEA">
              <w:rPr>
                <w:rFonts w:ascii="Biondi" w:hAnsi="Biondi"/>
                <w:color w:val="FF0000"/>
                <w:sz w:val="20"/>
                <w:szCs w:val="20"/>
              </w:rPr>
              <w:t xml:space="preserve"> </w:t>
            </w:r>
            <w:r w:rsidRPr="00AE6CEA">
              <w:rPr>
                <w:rFonts w:ascii="Calibri" w:hAnsi="Calibri"/>
                <w:i/>
                <w:sz w:val="18"/>
                <w:szCs w:val="18"/>
              </w:rPr>
              <w:t>For NRDSC to update on website.</w:t>
            </w:r>
          </w:p>
        </w:tc>
      </w:tr>
      <w:tr w:rsidR="00C05AB9" w:rsidRPr="00AE6CEA" w:rsidTr="00AE6CEA">
        <w:trPr>
          <w:trHeight w:hRule="exact" w:val="360"/>
        </w:trPr>
        <w:tc>
          <w:tcPr>
            <w:tcW w:w="9468" w:type="dxa"/>
            <w:gridSpan w:val="4"/>
          </w:tcPr>
          <w:p w:rsidR="00C05AB9" w:rsidRPr="00512860" w:rsidRDefault="00C05AB9" w:rsidP="001B5BDD">
            <w:pPr>
              <w:rPr>
                <w:rFonts w:ascii="Century Gothic" w:hAnsi="Century Gothic"/>
                <w:b/>
                <w:sz w:val="20"/>
                <w:szCs w:val="20"/>
              </w:rPr>
            </w:pPr>
            <w:r w:rsidRPr="00512860">
              <w:rPr>
                <w:rFonts w:ascii="Century Gothic" w:hAnsi="Century Gothic"/>
                <w:b/>
                <w:sz w:val="20"/>
                <w:szCs w:val="20"/>
              </w:rPr>
              <w:t>Task #0</w:t>
            </w:r>
            <w:r>
              <w:rPr>
                <w:rFonts w:ascii="Century Gothic" w:hAnsi="Century Gothic"/>
                <w:b/>
                <w:sz w:val="20"/>
                <w:szCs w:val="20"/>
              </w:rPr>
              <w:t>6</w:t>
            </w:r>
            <w:r w:rsidRPr="00512860">
              <w:rPr>
                <w:rFonts w:ascii="Century Gothic" w:hAnsi="Century Gothic"/>
                <w:b/>
                <w:sz w:val="20"/>
                <w:szCs w:val="20"/>
              </w:rPr>
              <w:t xml:space="preserve">- Assigned to </w:t>
            </w:r>
            <w:r w:rsidR="00D67498">
              <w:rPr>
                <w:rFonts w:ascii="Century Gothic" w:hAnsi="Century Gothic"/>
                <w:b/>
                <w:sz w:val="20"/>
                <w:szCs w:val="20"/>
              </w:rPr>
              <w:t>Alyssa Stewart</w:t>
            </w:r>
            <w:r w:rsidRPr="00512860">
              <w:rPr>
                <w:rFonts w:ascii="Century Gothic" w:hAnsi="Century Gothic"/>
                <w:b/>
                <w:sz w:val="20"/>
                <w:szCs w:val="20"/>
              </w:rPr>
              <w:t xml:space="preserve">, </w:t>
            </w:r>
            <w:r w:rsidR="001B5BDD">
              <w:rPr>
                <w:rFonts w:ascii="Century Gothic" w:hAnsi="Century Gothic"/>
                <w:b/>
                <w:sz w:val="20"/>
                <w:szCs w:val="20"/>
              </w:rPr>
              <w:t>CLOSED</w:t>
            </w:r>
          </w:p>
        </w:tc>
      </w:tr>
    </w:tbl>
    <w:p w:rsidR="00941050" w:rsidRDefault="00941050">
      <w:pPr>
        <w:rPr>
          <w:rFonts w:ascii="Biondi" w:hAnsi="Biondi"/>
          <w:sz w:val="20"/>
          <w:szCs w:val="20"/>
        </w:rPr>
      </w:pPr>
      <w:bookmarkStart w:id="2" w:name="_GoBack"/>
      <w:bookmarkEnd w:id="2"/>
    </w:p>
    <w:sectPr w:rsidR="00941050" w:rsidSect="00255E61">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6F" w:rsidRDefault="00A33F6F">
      <w:r>
        <w:separator/>
      </w:r>
    </w:p>
  </w:endnote>
  <w:endnote w:type="continuationSeparator" w:id="0">
    <w:p w:rsidR="00A33F6F" w:rsidRDefault="00A3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iondi">
    <w:panose1 w:val="02000505030000020004"/>
    <w:charset w:val="00"/>
    <w:family w:val="auto"/>
    <w:pitch w:val="variable"/>
    <w:sig w:usb0="8000002F" w:usb1="00000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6" w:rsidRDefault="00AF2146">
    <w:pPr>
      <w:pStyle w:val="Footer"/>
      <w:jc w:val="center"/>
      <w:rPr>
        <w:rFonts w:ascii="Calibri" w:hAnsi="Calibri"/>
        <w:sz w:val="20"/>
        <w:szCs w:val="20"/>
      </w:rPr>
    </w:pPr>
    <w:r>
      <w:rPr>
        <w:rFonts w:ascii="Calibri" w:hAnsi="Calibri"/>
        <w:sz w:val="20"/>
        <w:szCs w:val="20"/>
      </w:rPr>
      <w:t xml:space="preserve">Please fill out form &amp; mail to </w:t>
    </w:r>
    <w:hyperlink r:id="rId1" w:history="1">
      <w:r>
        <w:rPr>
          <w:rStyle w:val="Hyperlink"/>
          <w:rFonts w:ascii="Calibri" w:hAnsi="Calibri" w:cs="Helv"/>
          <w:sz w:val="20"/>
          <w:szCs w:val="20"/>
        </w:rPr>
        <w:t>pdl_r1_nrdsc@fs.fed.us</w:t>
      </w:r>
    </w:hyperlink>
    <w:r>
      <w:rPr>
        <w:rFonts w:ascii="Calibri" w:hAnsi="Calibri" w:cs="Helv"/>
        <w:color w:val="000000"/>
        <w:sz w:val="20"/>
        <w:szCs w:val="20"/>
      </w:rPr>
      <w:t xml:space="preserve"> (this will get to all committee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6F" w:rsidRDefault="00A33F6F">
      <w:r>
        <w:separator/>
      </w:r>
    </w:p>
  </w:footnote>
  <w:footnote w:type="continuationSeparator" w:id="0">
    <w:p w:rsidR="00A33F6F" w:rsidRDefault="00A3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6" w:rsidRDefault="00381310">
    <w:pPr>
      <w:jc w:val="right"/>
      <w:rPr>
        <w:b/>
        <w:sz w:val="28"/>
        <w:szCs w:val="28"/>
      </w:rPr>
    </w:pP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-19050</wp:posOffset>
          </wp:positionV>
          <wp:extent cx="1262380" cy="1134110"/>
          <wp:effectExtent l="19050" t="0" r="0" b="0"/>
          <wp:wrapTight wrapText="left">
            <wp:wrapPolygon edited="0">
              <wp:start x="-326" y="0"/>
              <wp:lineTo x="-326" y="21406"/>
              <wp:lineTo x="21513" y="21406"/>
              <wp:lineTo x="21513" y="0"/>
              <wp:lineTo x="-326"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
                  <a:srcRect/>
                  <a:stretch>
                    <a:fillRect/>
                  </a:stretch>
                </pic:blipFill>
                <pic:spPr bwMode="auto">
                  <a:xfrm>
                    <a:off x="0" y="0"/>
                    <a:ext cx="1262380" cy="1134110"/>
                  </a:xfrm>
                  <a:prstGeom prst="rect">
                    <a:avLst/>
                  </a:prstGeom>
                  <a:noFill/>
                  <a:ln w="9525">
                    <a:noFill/>
                    <a:miter lim="800000"/>
                    <a:headEnd/>
                    <a:tailEnd/>
                  </a:ln>
                </pic:spPr>
              </pic:pic>
            </a:graphicData>
          </a:graphic>
        </wp:anchor>
      </w:drawing>
    </w:r>
  </w:p>
  <w:p w:rsidR="00AF2146" w:rsidRDefault="00AF2146">
    <w:pPr>
      <w:ind w:left="3150"/>
      <w:jc w:val="right"/>
      <w:rPr>
        <w:rFonts w:ascii="Biondi" w:hAnsi="Biondi"/>
        <w:b/>
        <w:sz w:val="28"/>
        <w:szCs w:val="28"/>
      </w:rPr>
    </w:pPr>
    <w:smartTag w:uri="urn:schemas-microsoft-com:office:smarttags" w:element="place">
      <w:r>
        <w:rPr>
          <w:rFonts w:ascii="Biondi" w:hAnsi="Biondi"/>
          <w:b/>
          <w:sz w:val="28"/>
          <w:szCs w:val="28"/>
        </w:rPr>
        <w:t>Northern Rockies</w:t>
      </w:r>
    </w:smartTag>
    <w:r>
      <w:rPr>
        <w:rFonts w:ascii="Biondi" w:hAnsi="Biondi"/>
        <w:b/>
        <w:sz w:val="28"/>
        <w:szCs w:val="28"/>
      </w:rPr>
      <w:t xml:space="preserve"> </w:t>
    </w:r>
  </w:p>
  <w:p w:rsidR="00AF2146" w:rsidRDefault="00AF2146">
    <w:pPr>
      <w:ind w:left="3150"/>
      <w:jc w:val="right"/>
      <w:rPr>
        <w:rFonts w:ascii="Biondi" w:hAnsi="Biondi"/>
        <w:b/>
        <w:sz w:val="28"/>
        <w:szCs w:val="28"/>
      </w:rPr>
    </w:pPr>
    <w:r>
      <w:rPr>
        <w:rFonts w:ascii="Biondi" w:hAnsi="Biondi"/>
        <w:b/>
        <w:sz w:val="28"/>
        <w:szCs w:val="28"/>
      </w:rPr>
      <w:t>Dispatch Steering Committee</w:t>
    </w:r>
  </w:p>
  <w:p w:rsidR="00AF2146" w:rsidRDefault="00AF2146">
    <w:pPr>
      <w:ind w:left="3150"/>
      <w:jc w:val="right"/>
      <w:rPr>
        <w:rFonts w:ascii="Biondi" w:hAnsi="Biondi"/>
        <w:b/>
        <w:sz w:val="28"/>
        <w:szCs w:val="28"/>
      </w:rPr>
    </w:pPr>
    <w:r>
      <w:rPr>
        <w:rFonts w:ascii="Biondi" w:hAnsi="Biondi"/>
        <w:b/>
        <w:sz w:val="28"/>
        <w:szCs w:val="28"/>
      </w:rPr>
      <w:t>Task Order Form</w:t>
    </w:r>
  </w:p>
  <w:p w:rsidR="00AF2146" w:rsidRDefault="00AF2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2E2"/>
    <w:rsid w:val="001B256B"/>
    <w:rsid w:val="001B5BDD"/>
    <w:rsid w:val="00213B73"/>
    <w:rsid w:val="00255E61"/>
    <w:rsid w:val="0026457B"/>
    <w:rsid w:val="00381310"/>
    <w:rsid w:val="003E31F9"/>
    <w:rsid w:val="005362D0"/>
    <w:rsid w:val="006828EF"/>
    <w:rsid w:val="006C5601"/>
    <w:rsid w:val="007B7D58"/>
    <w:rsid w:val="00941050"/>
    <w:rsid w:val="00A33F6F"/>
    <w:rsid w:val="00AE6CEA"/>
    <w:rsid w:val="00AF2146"/>
    <w:rsid w:val="00C05AB9"/>
    <w:rsid w:val="00CE42B6"/>
    <w:rsid w:val="00D67498"/>
    <w:rsid w:val="00D910EA"/>
    <w:rsid w:val="00F8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61"/>
    <w:rPr>
      <w:sz w:val="24"/>
      <w:szCs w:val="24"/>
    </w:rPr>
  </w:style>
  <w:style w:type="paragraph" w:styleId="Heading1">
    <w:name w:val="heading 1"/>
    <w:basedOn w:val="Normal"/>
    <w:link w:val="Heading1Char"/>
    <w:uiPriority w:val="9"/>
    <w:qFormat/>
    <w:rsid w:val="001B5B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E61"/>
    <w:pPr>
      <w:tabs>
        <w:tab w:val="center" w:pos="4320"/>
        <w:tab w:val="right" w:pos="8640"/>
      </w:tabs>
    </w:pPr>
  </w:style>
  <w:style w:type="paragraph" w:styleId="Footer">
    <w:name w:val="footer"/>
    <w:basedOn w:val="Normal"/>
    <w:rsid w:val="00255E61"/>
    <w:pPr>
      <w:tabs>
        <w:tab w:val="center" w:pos="4320"/>
        <w:tab w:val="right" w:pos="8640"/>
      </w:tabs>
    </w:pPr>
  </w:style>
  <w:style w:type="table" w:styleId="TableGrid">
    <w:name w:val="Table Grid"/>
    <w:basedOn w:val="TableNormal"/>
    <w:rsid w:val="00255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55E61"/>
    <w:rPr>
      <w:color w:val="0000FF"/>
      <w:u w:val="single"/>
    </w:rPr>
  </w:style>
  <w:style w:type="paragraph" w:styleId="BalloonText">
    <w:name w:val="Balloon Text"/>
    <w:basedOn w:val="Normal"/>
    <w:link w:val="BalloonTextChar"/>
    <w:rsid w:val="001B5BDD"/>
    <w:rPr>
      <w:rFonts w:ascii="Tahoma" w:hAnsi="Tahoma" w:cs="Tahoma"/>
      <w:sz w:val="16"/>
      <w:szCs w:val="16"/>
    </w:rPr>
  </w:style>
  <w:style w:type="character" w:customStyle="1" w:styleId="BalloonTextChar">
    <w:name w:val="Balloon Text Char"/>
    <w:basedOn w:val="DefaultParagraphFont"/>
    <w:link w:val="BalloonText"/>
    <w:rsid w:val="001B5BDD"/>
    <w:rPr>
      <w:rFonts w:ascii="Tahoma" w:hAnsi="Tahoma" w:cs="Tahoma"/>
      <w:sz w:val="16"/>
      <w:szCs w:val="16"/>
    </w:rPr>
  </w:style>
  <w:style w:type="character" w:customStyle="1" w:styleId="Heading1Char">
    <w:name w:val="Heading 1 Char"/>
    <w:basedOn w:val="DefaultParagraphFont"/>
    <w:link w:val="Heading1"/>
    <w:uiPriority w:val="9"/>
    <w:rsid w:val="001B5BDD"/>
    <w:rPr>
      <w:b/>
      <w:bCs/>
      <w:kern w:val="36"/>
      <w:sz w:val="48"/>
      <w:szCs w:val="48"/>
    </w:rPr>
  </w:style>
  <w:style w:type="paragraph" w:styleId="NormalWeb">
    <w:name w:val="Normal (Web)"/>
    <w:basedOn w:val="Normal"/>
    <w:uiPriority w:val="99"/>
    <w:unhideWhenUsed/>
    <w:rsid w:val="001B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298">
      <w:bodyDiv w:val="1"/>
      <w:marLeft w:val="0"/>
      <w:marRight w:val="0"/>
      <w:marTop w:val="0"/>
      <w:marBottom w:val="0"/>
      <w:divBdr>
        <w:top w:val="none" w:sz="0" w:space="0" w:color="auto"/>
        <w:left w:val="none" w:sz="0" w:space="0" w:color="auto"/>
        <w:bottom w:val="none" w:sz="0" w:space="0" w:color="auto"/>
        <w:right w:val="none" w:sz="0" w:space="0" w:color="auto"/>
      </w:divBdr>
      <w:divsChild>
        <w:div w:id="1890873596">
          <w:marLeft w:val="0"/>
          <w:marRight w:val="0"/>
          <w:marTop w:val="0"/>
          <w:marBottom w:val="0"/>
          <w:divBdr>
            <w:top w:val="none" w:sz="0" w:space="0" w:color="auto"/>
            <w:left w:val="none" w:sz="0" w:space="0" w:color="auto"/>
            <w:bottom w:val="none" w:sz="0" w:space="0" w:color="auto"/>
            <w:right w:val="none" w:sz="0" w:space="0" w:color="auto"/>
          </w:divBdr>
        </w:div>
      </w:divsChild>
    </w:div>
    <w:div w:id="926646092">
      <w:bodyDiv w:val="1"/>
      <w:marLeft w:val="0"/>
      <w:marRight w:val="0"/>
      <w:marTop w:val="0"/>
      <w:marBottom w:val="0"/>
      <w:divBdr>
        <w:top w:val="none" w:sz="0" w:space="0" w:color="auto"/>
        <w:left w:val="none" w:sz="0" w:space="0" w:color="auto"/>
        <w:bottom w:val="none" w:sz="0" w:space="0" w:color="auto"/>
        <w:right w:val="none" w:sz="0" w:space="0" w:color="auto"/>
      </w:divBdr>
    </w:div>
    <w:div w:id="1321696564">
      <w:bodyDiv w:val="1"/>
      <w:marLeft w:val="0"/>
      <w:marRight w:val="0"/>
      <w:marTop w:val="0"/>
      <w:marBottom w:val="0"/>
      <w:divBdr>
        <w:top w:val="none" w:sz="0" w:space="0" w:color="auto"/>
        <w:left w:val="none" w:sz="0" w:space="0" w:color="auto"/>
        <w:bottom w:val="none" w:sz="0" w:space="0" w:color="auto"/>
        <w:right w:val="none" w:sz="0" w:space="0" w:color="auto"/>
      </w:divBdr>
    </w:div>
    <w:div w:id="19046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bush@m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dl_r1_nrdsc@fs.fe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Northern Rockies Dispatch Steering Committee Task Order Form</vt:lpstr>
    </vt:vector>
  </TitlesOfParts>
  <Company>USDA Forest Service</Company>
  <LinksUpToDate>false</LinksUpToDate>
  <CharactersWithSpaces>2818</CharactersWithSpaces>
  <SharedDoc>false</SharedDoc>
  <HLinks>
    <vt:vector size="12" baseType="variant">
      <vt:variant>
        <vt:i4>4128776</vt:i4>
      </vt:variant>
      <vt:variant>
        <vt:i4>0</vt:i4>
      </vt:variant>
      <vt:variant>
        <vt:i4>0</vt:i4>
      </vt:variant>
      <vt:variant>
        <vt:i4>5</vt:i4>
      </vt:variant>
      <vt:variant>
        <vt:lpwstr>mailto:lbush@mt.gov</vt:lpwstr>
      </vt:variant>
      <vt:variant>
        <vt:lpwstr/>
      </vt:variant>
      <vt:variant>
        <vt:i4>1441834</vt:i4>
      </vt:variant>
      <vt:variant>
        <vt:i4>0</vt:i4>
      </vt:variant>
      <vt:variant>
        <vt:i4>0</vt:i4>
      </vt:variant>
      <vt:variant>
        <vt:i4>5</vt:i4>
      </vt:variant>
      <vt:variant>
        <vt:lpwstr>mailto:pdl_r1_nrdsc@fs.fed.us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Rockies Dispatch Steering Committee Task Order Form</dc:title>
  <dc:subject/>
  <dc:creator>FSDefaultUser</dc:creator>
  <cp:keywords/>
  <dc:description/>
  <cp:lastModifiedBy>mtnrc01disp</cp:lastModifiedBy>
  <cp:revision>4</cp:revision>
  <dcterms:created xsi:type="dcterms:W3CDTF">2011-11-17T18:51:00Z</dcterms:created>
  <dcterms:modified xsi:type="dcterms:W3CDTF">2012-04-03T17:07:00Z</dcterms:modified>
</cp:coreProperties>
</file>